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D08D" w14:textId="77777777" w:rsidR="007D6EFC" w:rsidRPr="00076F2A" w:rsidRDefault="007D6EFC" w:rsidP="00EA6D5C">
      <w:pPr>
        <w:jc w:val="left"/>
        <w:rPr>
          <w:rFonts w:cs="Calibri"/>
          <w:bCs/>
        </w:rPr>
      </w:pPr>
    </w:p>
    <w:p w14:paraId="3C68C374" w14:textId="41669772" w:rsidR="00DC01B3" w:rsidRPr="00076F2A" w:rsidRDefault="00DC01B3" w:rsidP="00EA6D5C">
      <w:pPr>
        <w:jc w:val="left"/>
        <w:rPr>
          <w:rFonts w:cs="Calibri"/>
          <w:bCs/>
        </w:rPr>
      </w:pPr>
      <w:r w:rsidRPr="00076F2A">
        <w:rPr>
          <w:rFonts w:cs="Calibri"/>
          <w:bCs/>
        </w:rPr>
        <w:t xml:space="preserve">Informacja o wynikach kontroli </w:t>
      </w:r>
      <w:r w:rsidR="008178CA" w:rsidRPr="00076F2A">
        <w:rPr>
          <w:rFonts w:cs="Calibri"/>
          <w:bCs/>
        </w:rPr>
        <w:t xml:space="preserve">wyrobów pirotechnicznych widowiskowych </w:t>
      </w:r>
    </w:p>
    <w:p w14:paraId="772F2EA6" w14:textId="77777777" w:rsidR="00AF7C62" w:rsidRPr="00E61B3A" w:rsidRDefault="00AF7C62" w:rsidP="00EA6D5C">
      <w:pPr>
        <w:jc w:val="left"/>
        <w:rPr>
          <w:rFonts w:ascii="Tahoma" w:hAnsi="Tahoma"/>
          <w:b/>
          <w:sz w:val="20"/>
          <w:szCs w:val="20"/>
          <w:u w:val="single"/>
        </w:rPr>
      </w:pPr>
    </w:p>
    <w:p w14:paraId="1A1F1DB2" w14:textId="13E3D2E5" w:rsidR="00DC01B3" w:rsidRPr="00076F2A" w:rsidRDefault="00DC01B3" w:rsidP="00EA6D5C">
      <w:pPr>
        <w:jc w:val="left"/>
        <w:rPr>
          <w:rFonts w:cs="Calibri"/>
        </w:rPr>
      </w:pPr>
      <w:r w:rsidRPr="00076F2A">
        <w:rPr>
          <w:rFonts w:cs="Calibri"/>
        </w:rPr>
        <w:t>W 202</w:t>
      </w:r>
      <w:r w:rsidR="00487890" w:rsidRPr="00076F2A">
        <w:rPr>
          <w:rFonts w:cs="Calibri"/>
        </w:rPr>
        <w:t>4</w:t>
      </w:r>
      <w:r w:rsidRPr="00076F2A">
        <w:rPr>
          <w:rFonts w:cs="Calibri"/>
        </w:rPr>
        <w:t xml:space="preserve"> Wojewódzki Inspektorat Inspekcji Handlowej w Warszawie </w:t>
      </w:r>
      <w:r w:rsidRPr="00076F2A">
        <w:rPr>
          <w:rFonts w:cs="Calibri"/>
          <w:color w:val="000000" w:themeColor="text1"/>
        </w:rPr>
        <w:t xml:space="preserve">przeprowadził </w:t>
      </w:r>
      <w:r w:rsidR="003F1A7F" w:rsidRPr="00076F2A">
        <w:rPr>
          <w:rFonts w:cs="Calibri"/>
          <w:color w:val="000000" w:themeColor="text1"/>
        </w:rPr>
        <w:t xml:space="preserve">36 </w:t>
      </w:r>
      <w:r w:rsidRPr="00076F2A">
        <w:rPr>
          <w:rFonts w:cs="Calibri"/>
          <w:color w:val="000000" w:themeColor="text1"/>
        </w:rPr>
        <w:t>kontroli</w:t>
      </w:r>
      <w:r w:rsidR="003F1A7F" w:rsidRPr="00076F2A">
        <w:rPr>
          <w:rFonts w:cs="Calibri"/>
          <w:color w:val="000000" w:themeColor="text1"/>
        </w:rPr>
        <w:t xml:space="preserve">, 33 </w:t>
      </w:r>
      <w:r w:rsidRPr="00076F2A">
        <w:rPr>
          <w:rFonts w:cs="Calibri"/>
          <w:color w:val="000000" w:themeColor="text1"/>
        </w:rPr>
        <w:t xml:space="preserve"> przedsiębiorców </w:t>
      </w:r>
      <w:r w:rsidR="008178CA" w:rsidRPr="00076F2A">
        <w:rPr>
          <w:rFonts w:cs="Calibri"/>
          <w:color w:val="000000" w:themeColor="text1"/>
        </w:rPr>
        <w:t xml:space="preserve">(dystrybutorów) </w:t>
      </w:r>
      <w:r w:rsidRPr="00076F2A">
        <w:rPr>
          <w:rFonts w:cs="Calibri"/>
          <w:color w:val="000000" w:themeColor="text1"/>
        </w:rPr>
        <w:t xml:space="preserve">posiadających w swojej ofercie handlowej </w:t>
      </w:r>
      <w:r w:rsidR="008178CA" w:rsidRPr="00076F2A">
        <w:rPr>
          <w:rFonts w:cs="Calibri"/>
          <w:color w:val="000000" w:themeColor="text1"/>
        </w:rPr>
        <w:t>wyroby pirotechniczne widowiskowe</w:t>
      </w:r>
      <w:r w:rsidRPr="00076F2A">
        <w:rPr>
          <w:rFonts w:cs="Calibri"/>
        </w:rPr>
        <w:t xml:space="preserve">. </w:t>
      </w:r>
      <w:r w:rsidR="003F1A7F" w:rsidRPr="00076F2A">
        <w:rPr>
          <w:rFonts w:cs="Calibri"/>
        </w:rPr>
        <w:br/>
      </w:r>
      <w:r w:rsidRPr="00076F2A">
        <w:rPr>
          <w:rFonts w:cs="Calibri"/>
        </w:rPr>
        <w:t>Wyroby objęte kontrolą sprawdzono pod względem przestrzegania przepisów określonych w:</w:t>
      </w:r>
    </w:p>
    <w:p w14:paraId="4E5B08AD" w14:textId="77777777" w:rsidR="008178CA" w:rsidRPr="00076F2A" w:rsidRDefault="008178CA" w:rsidP="00FE2931">
      <w:pPr>
        <w:jc w:val="left"/>
        <w:rPr>
          <w:rFonts w:cs="Calibri"/>
        </w:rPr>
      </w:pPr>
      <w:r w:rsidRPr="00076F2A">
        <w:rPr>
          <w:rFonts w:cs="Calibri"/>
        </w:rPr>
        <w:t>- ustawie z dnia 21 czerwca 2002 r. o materiałach wybuchowych przeznaczonych do użytku cywilnego (Dz. U. z 2022 r., poz. 2378);</w:t>
      </w:r>
    </w:p>
    <w:p w14:paraId="3D8FBD39" w14:textId="16A03123" w:rsidR="008178CA" w:rsidRPr="00076F2A" w:rsidRDefault="008178CA" w:rsidP="00FE2931">
      <w:pPr>
        <w:jc w:val="left"/>
        <w:rPr>
          <w:rFonts w:cs="Calibri"/>
        </w:rPr>
      </w:pPr>
      <w:r w:rsidRPr="00076F2A">
        <w:rPr>
          <w:rFonts w:cs="Calibri"/>
        </w:rPr>
        <w:t>- rozporządzeniu Ministra Rozwoju z dnia 3 czerwca 2016 r. w sprawie wymagań bezpieczeństwa dla wyrobów pirotechnicznych (Dz. U. poz. 818).</w:t>
      </w:r>
    </w:p>
    <w:p w14:paraId="0D0E1876" w14:textId="1A89C8DC" w:rsidR="00DC01B3" w:rsidRPr="00076F2A" w:rsidRDefault="00DC01B3" w:rsidP="00FE2931">
      <w:pPr>
        <w:jc w:val="left"/>
        <w:rPr>
          <w:rFonts w:cs="Calibri"/>
        </w:rPr>
      </w:pPr>
      <w:r w:rsidRPr="00076F2A">
        <w:rPr>
          <w:rFonts w:cs="Calibri"/>
        </w:rPr>
        <w:t xml:space="preserve">Kontrolą objęto łącznie </w:t>
      </w:r>
      <w:r w:rsidR="003F1A7F" w:rsidRPr="00076F2A">
        <w:rPr>
          <w:rFonts w:cs="Calibri"/>
        </w:rPr>
        <w:t>100</w:t>
      </w:r>
      <w:r w:rsidR="00487890" w:rsidRPr="00076F2A">
        <w:rPr>
          <w:rFonts w:cs="Calibri"/>
        </w:rPr>
        <w:t xml:space="preserve"> partii</w:t>
      </w:r>
      <w:r w:rsidRPr="00076F2A">
        <w:rPr>
          <w:rFonts w:cs="Calibri"/>
        </w:rPr>
        <w:t xml:space="preserve"> </w:t>
      </w:r>
      <w:r w:rsidR="00E74FCC" w:rsidRPr="00076F2A">
        <w:rPr>
          <w:rFonts w:cs="Calibri"/>
        </w:rPr>
        <w:t>wyrobów pirotechnicznych widowiskowych klasy 1-3</w:t>
      </w:r>
      <w:r w:rsidR="00487890" w:rsidRPr="00076F2A">
        <w:rPr>
          <w:rFonts w:cs="Calibri"/>
        </w:rPr>
        <w:t>.</w:t>
      </w:r>
    </w:p>
    <w:p w14:paraId="70CD1ADD" w14:textId="77777777" w:rsidR="00DC01B3" w:rsidRPr="00076F2A" w:rsidRDefault="00DC01B3" w:rsidP="00FE2931">
      <w:pPr>
        <w:jc w:val="left"/>
        <w:rPr>
          <w:rFonts w:cs="Calibri"/>
          <w:bCs/>
        </w:rPr>
      </w:pPr>
      <w:r w:rsidRPr="00076F2A">
        <w:rPr>
          <w:rFonts w:cs="Calibri"/>
          <w:bCs/>
        </w:rPr>
        <w:t>USTALENIA KONTROLI:</w:t>
      </w:r>
    </w:p>
    <w:p w14:paraId="1EF4F91A" w14:textId="77777777" w:rsidR="00E74FCC" w:rsidRPr="00076F2A" w:rsidRDefault="00E74FCC" w:rsidP="00FE2931">
      <w:pPr>
        <w:jc w:val="left"/>
        <w:rPr>
          <w:rFonts w:cs="Calibri"/>
        </w:rPr>
      </w:pPr>
      <w:r w:rsidRPr="00076F2A">
        <w:rPr>
          <w:rFonts w:cs="Calibri"/>
        </w:rPr>
        <w:t xml:space="preserve">Wyroby objęte kontrolą poddano </w:t>
      </w:r>
      <w:r w:rsidR="00DC01B3" w:rsidRPr="00076F2A">
        <w:rPr>
          <w:rFonts w:cs="Calibri"/>
        </w:rPr>
        <w:t>oględzinom poprzez sprawdzenie:</w:t>
      </w:r>
      <w:r w:rsidRPr="00076F2A">
        <w:rPr>
          <w:rFonts w:cs="Calibri"/>
        </w:rPr>
        <w:t xml:space="preserve"> </w:t>
      </w:r>
    </w:p>
    <w:p w14:paraId="7467C400" w14:textId="77777777" w:rsidR="00E74FCC" w:rsidRPr="00076F2A" w:rsidRDefault="00E74FCC" w:rsidP="00FE2931">
      <w:pPr>
        <w:pStyle w:val="Akapitzlist"/>
        <w:numPr>
          <w:ilvl w:val="0"/>
          <w:numId w:val="5"/>
        </w:numPr>
        <w:jc w:val="left"/>
        <w:rPr>
          <w:rFonts w:cs="Calibri"/>
        </w:rPr>
      </w:pPr>
      <w:r w:rsidRPr="00076F2A">
        <w:rPr>
          <w:rFonts w:cs="Calibri"/>
        </w:rPr>
        <w:t xml:space="preserve">oznakowanie CE, </w:t>
      </w:r>
    </w:p>
    <w:p w14:paraId="1DC75A93" w14:textId="77777777" w:rsidR="00E74FCC" w:rsidRPr="00076F2A" w:rsidRDefault="00E74FCC" w:rsidP="00FE2931">
      <w:pPr>
        <w:pStyle w:val="Akapitzlist"/>
        <w:numPr>
          <w:ilvl w:val="0"/>
          <w:numId w:val="5"/>
        </w:numPr>
        <w:jc w:val="left"/>
        <w:rPr>
          <w:rFonts w:cs="Calibri"/>
          <w:u w:val="single"/>
        </w:rPr>
      </w:pPr>
      <w:r w:rsidRPr="00076F2A">
        <w:rPr>
          <w:rFonts w:cs="Calibri"/>
        </w:rPr>
        <w:t xml:space="preserve">wymagań dla etykiet umieszczanych na wyrobach pirotechnicznych, </w:t>
      </w:r>
    </w:p>
    <w:p w14:paraId="2D789AB7" w14:textId="623C1B16" w:rsidR="00E74FCC" w:rsidRPr="00076F2A" w:rsidRDefault="00E74FCC" w:rsidP="00FE2931">
      <w:pPr>
        <w:pStyle w:val="Akapitzlist"/>
        <w:numPr>
          <w:ilvl w:val="0"/>
          <w:numId w:val="5"/>
        </w:numPr>
        <w:jc w:val="left"/>
        <w:rPr>
          <w:rFonts w:cs="Calibri"/>
        </w:rPr>
      </w:pPr>
      <w:r w:rsidRPr="00076F2A">
        <w:rPr>
          <w:rFonts w:cs="Calibri"/>
        </w:rPr>
        <w:t xml:space="preserve">ogólnych </w:t>
      </w:r>
      <w:r w:rsidR="00A1177C" w:rsidRPr="00076F2A">
        <w:rPr>
          <w:rFonts w:cs="Calibri"/>
        </w:rPr>
        <w:t xml:space="preserve">wymagań bezpieczeństwa </w:t>
      </w:r>
      <w:r w:rsidRPr="00076F2A">
        <w:rPr>
          <w:rFonts w:cs="Calibri"/>
        </w:rPr>
        <w:t>dla wyrobów pirotechnicznych.</w:t>
      </w:r>
    </w:p>
    <w:p w14:paraId="78DCD867" w14:textId="6D7D4538" w:rsidR="00953A64" w:rsidRPr="00076F2A" w:rsidRDefault="00E74FCC" w:rsidP="00FE2931">
      <w:pPr>
        <w:jc w:val="left"/>
        <w:rPr>
          <w:rFonts w:cs="Calibri"/>
        </w:rPr>
      </w:pPr>
      <w:r w:rsidRPr="00076F2A">
        <w:rPr>
          <w:rFonts w:cs="Calibri"/>
        </w:rPr>
        <w:t xml:space="preserve">W przypadku </w:t>
      </w:r>
      <w:r w:rsidR="003F1A7F" w:rsidRPr="00076F2A">
        <w:rPr>
          <w:rFonts w:cs="Calibri"/>
        </w:rPr>
        <w:t>95 partii</w:t>
      </w:r>
      <w:r w:rsidR="00BB07CD" w:rsidRPr="00076F2A">
        <w:rPr>
          <w:rFonts w:cs="Calibri"/>
        </w:rPr>
        <w:t xml:space="preserve"> </w:t>
      </w:r>
      <w:r w:rsidR="00AF7C62" w:rsidRPr="00076F2A">
        <w:rPr>
          <w:rFonts w:cs="Calibri"/>
        </w:rPr>
        <w:t>wyrobów</w:t>
      </w:r>
      <w:r w:rsidR="00BB07CD" w:rsidRPr="00076F2A">
        <w:rPr>
          <w:rFonts w:cs="Calibri"/>
        </w:rPr>
        <w:t xml:space="preserve"> pirotechnicznych widowiskowych </w:t>
      </w:r>
      <w:r w:rsidR="00AF7C62" w:rsidRPr="00076F2A">
        <w:rPr>
          <w:rFonts w:cs="Calibri"/>
        </w:rPr>
        <w:t xml:space="preserve">nie stwierdzono nieprawidłowości, </w:t>
      </w:r>
      <w:r w:rsidRPr="00076F2A">
        <w:rPr>
          <w:rFonts w:cs="Calibri"/>
        </w:rPr>
        <w:t>wyroby były oznakowane znakiem CE, etykiety</w:t>
      </w:r>
      <w:r w:rsidR="003F1A7F" w:rsidRPr="00076F2A">
        <w:rPr>
          <w:rFonts w:cs="Calibri"/>
        </w:rPr>
        <w:t xml:space="preserve"> umieszczone na wyrobach z</w:t>
      </w:r>
      <w:r w:rsidRPr="00076F2A">
        <w:rPr>
          <w:rFonts w:cs="Calibri"/>
        </w:rPr>
        <w:t xml:space="preserve">awierały wszystkie informacje określone w rozporządzeniu Ministra Rozwoju z dnia </w:t>
      </w:r>
      <w:r w:rsidR="00F16B8E">
        <w:rPr>
          <w:rFonts w:cs="Calibri"/>
        </w:rPr>
        <w:br/>
      </w:r>
      <w:r w:rsidRPr="00076F2A">
        <w:rPr>
          <w:rFonts w:cs="Calibri"/>
        </w:rPr>
        <w:t>3 czerwca 2016 r. w sprawie wymagań bezpieczeństwa dla wyrobów pirotechnicznych (Dz. U. poz. 818).</w:t>
      </w:r>
    </w:p>
    <w:p w14:paraId="148C3634" w14:textId="77777777" w:rsidR="003F1A7F" w:rsidRPr="00076F2A" w:rsidRDefault="003F1A7F" w:rsidP="00FE2931">
      <w:pPr>
        <w:jc w:val="left"/>
        <w:rPr>
          <w:rFonts w:cs="Calibri"/>
        </w:rPr>
      </w:pPr>
      <w:r w:rsidRPr="00076F2A">
        <w:rPr>
          <w:rFonts w:cs="Calibri"/>
        </w:rPr>
        <w:t>W przypadku 5 partii wyrobów stwierdzono nieprawidłowości w oznakowaniu wyrobów tj.:</w:t>
      </w:r>
    </w:p>
    <w:p w14:paraId="4790490A" w14:textId="72736C9F" w:rsidR="00982E18" w:rsidRPr="00076F2A" w:rsidRDefault="003F1A7F" w:rsidP="00FE2931">
      <w:pPr>
        <w:pStyle w:val="Akapitzlist"/>
        <w:numPr>
          <w:ilvl w:val="0"/>
          <w:numId w:val="9"/>
        </w:numPr>
        <w:jc w:val="left"/>
        <w:rPr>
          <w:rFonts w:cs="Calibri"/>
        </w:rPr>
      </w:pPr>
      <w:r w:rsidRPr="00076F2A">
        <w:rPr>
          <w:rFonts w:cs="Calibri"/>
        </w:rPr>
        <w:t xml:space="preserve"> w </w:t>
      </w:r>
      <w:r w:rsidR="00982E18" w:rsidRPr="00076F2A">
        <w:rPr>
          <w:rFonts w:cs="Calibri"/>
        </w:rPr>
        <w:t xml:space="preserve"> </w:t>
      </w:r>
      <w:r w:rsidRPr="00076F2A">
        <w:rPr>
          <w:rFonts w:cs="Calibri"/>
        </w:rPr>
        <w:t xml:space="preserve">2 </w:t>
      </w:r>
      <w:r w:rsidR="00F928F7" w:rsidRPr="00076F2A">
        <w:rPr>
          <w:rFonts w:cs="Calibri"/>
        </w:rPr>
        <w:t xml:space="preserve"> </w:t>
      </w:r>
      <w:r w:rsidRPr="00076F2A">
        <w:rPr>
          <w:rFonts w:cs="Calibri"/>
        </w:rPr>
        <w:t>przypadkach brak adresu producenta</w:t>
      </w:r>
      <w:r w:rsidR="00982E18" w:rsidRPr="00076F2A">
        <w:rPr>
          <w:rFonts w:cs="Calibri"/>
        </w:rPr>
        <w:t xml:space="preserve">, </w:t>
      </w:r>
    </w:p>
    <w:p w14:paraId="4E08D0D4" w14:textId="2A84AF9E" w:rsidR="00982E18" w:rsidRPr="00076F2A" w:rsidRDefault="003F1A7F" w:rsidP="00FE2931">
      <w:pPr>
        <w:pStyle w:val="Akapitzlist"/>
        <w:numPr>
          <w:ilvl w:val="0"/>
          <w:numId w:val="9"/>
        </w:numPr>
        <w:jc w:val="left"/>
        <w:rPr>
          <w:rFonts w:cs="Calibri"/>
        </w:rPr>
      </w:pPr>
      <w:r w:rsidRPr="00076F2A">
        <w:rPr>
          <w:rFonts w:cs="Calibri"/>
        </w:rPr>
        <w:t xml:space="preserve"> </w:t>
      </w:r>
      <w:r w:rsidR="00982E18" w:rsidRPr="00076F2A">
        <w:rPr>
          <w:rFonts w:cs="Calibri"/>
        </w:rPr>
        <w:t xml:space="preserve">w </w:t>
      </w:r>
      <w:r w:rsidRPr="00076F2A">
        <w:rPr>
          <w:rFonts w:cs="Calibri"/>
        </w:rPr>
        <w:t>2</w:t>
      </w:r>
      <w:r w:rsidR="00F928F7" w:rsidRPr="00076F2A">
        <w:rPr>
          <w:rFonts w:cs="Calibri"/>
        </w:rPr>
        <w:t xml:space="preserve"> </w:t>
      </w:r>
      <w:r w:rsidRPr="00076F2A">
        <w:rPr>
          <w:rFonts w:cs="Calibri"/>
        </w:rPr>
        <w:t>przypadkach niewłaściwie określony został wiek osób</w:t>
      </w:r>
      <w:r w:rsidR="00F928F7" w:rsidRPr="00076F2A">
        <w:rPr>
          <w:rFonts w:cs="Calibri"/>
        </w:rPr>
        <w:t>,</w:t>
      </w:r>
      <w:r w:rsidRPr="00076F2A">
        <w:rPr>
          <w:rFonts w:cs="Calibri"/>
        </w:rPr>
        <w:t xml:space="preserve"> dla których wyroby zostały </w:t>
      </w:r>
      <w:r w:rsidR="00F928F7" w:rsidRPr="00076F2A">
        <w:rPr>
          <w:rFonts w:cs="Calibri"/>
        </w:rPr>
        <w:t xml:space="preserve"> </w:t>
      </w:r>
      <w:r w:rsidRPr="00076F2A">
        <w:rPr>
          <w:rFonts w:cs="Calibri"/>
        </w:rPr>
        <w:t>przeznaczone,</w:t>
      </w:r>
      <w:r w:rsidR="00982E18" w:rsidRPr="00076F2A">
        <w:rPr>
          <w:rFonts w:cs="Calibri"/>
        </w:rPr>
        <w:t xml:space="preserve"> </w:t>
      </w:r>
    </w:p>
    <w:p w14:paraId="79AD3434" w14:textId="694A1345" w:rsidR="003F1A7F" w:rsidRPr="00076F2A" w:rsidRDefault="00F928F7" w:rsidP="00FE2931">
      <w:pPr>
        <w:pStyle w:val="Akapitzlist"/>
        <w:numPr>
          <w:ilvl w:val="0"/>
          <w:numId w:val="9"/>
        </w:numPr>
        <w:jc w:val="left"/>
        <w:rPr>
          <w:rFonts w:cs="Calibri"/>
        </w:rPr>
      </w:pPr>
      <w:r w:rsidRPr="00076F2A">
        <w:rPr>
          <w:rFonts w:cs="Calibri"/>
        </w:rPr>
        <w:t xml:space="preserve"> </w:t>
      </w:r>
      <w:r w:rsidR="003F1A7F" w:rsidRPr="00076F2A">
        <w:rPr>
          <w:rFonts w:cs="Calibri"/>
        </w:rPr>
        <w:t xml:space="preserve">w </w:t>
      </w:r>
      <w:r w:rsidRPr="00076F2A">
        <w:rPr>
          <w:rFonts w:cs="Calibri"/>
        </w:rPr>
        <w:t xml:space="preserve">  </w:t>
      </w:r>
      <w:r w:rsidR="003F1A7F" w:rsidRPr="00076F2A">
        <w:rPr>
          <w:rFonts w:cs="Calibri"/>
        </w:rPr>
        <w:t xml:space="preserve">1 przypadku nie podano informacji o miejscach, w których dozwolone jest używanie wyrobu </w:t>
      </w:r>
      <w:r w:rsidRPr="00076F2A">
        <w:rPr>
          <w:rFonts w:cs="Calibri"/>
        </w:rPr>
        <w:t xml:space="preserve"> </w:t>
      </w:r>
      <w:r w:rsidR="003F1A7F" w:rsidRPr="00076F2A">
        <w:rPr>
          <w:rFonts w:cs="Calibri"/>
        </w:rPr>
        <w:t>oraz nie podano wieku osób</w:t>
      </w:r>
      <w:r w:rsidRPr="00076F2A">
        <w:rPr>
          <w:rFonts w:cs="Calibri"/>
        </w:rPr>
        <w:t>,</w:t>
      </w:r>
      <w:r w:rsidR="003F1A7F" w:rsidRPr="00076F2A">
        <w:rPr>
          <w:rFonts w:cs="Calibri"/>
        </w:rPr>
        <w:t xml:space="preserve"> dla których wyroby zostały przeznaczone.</w:t>
      </w:r>
    </w:p>
    <w:p w14:paraId="116A9CA9" w14:textId="77777777" w:rsidR="00982E18" w:rsidRPr="00076F2A" w:rsidRDefault="00982E18" w:rsidP="00FE2931">
      <w:pPr>
        <w:pStyle w:val="Akapitzlist"/>
        <w:jc w:val="left"/>
        <w:rPr>
          <w:rFonts w:cs="Calibri"/>
        </w:rPr>
      </w:pPr>
    </w:p>
    <w:p w14:paraId="2FEDFADC" w14:textId="0A2D333F" w:rsidR="00953A64" w:rsidRPr="00076F2A" w:rsidRDefault="00953A64" w:rsidP="00FE2931">
      <w:pPr>
        <w:jc w:val="left"/>
        <w:rPr>
          <w:rFonts w:cs="Calibri"/>
        </w:rPr>
      </w:pPr>
      <w:r w:rsidRPr="00076F2A">
        <w:rPr>
          <w:rFonts w:cs="Calibri"/>
        </w:rPr>
        <w:lastRenderedPageBreak/>
        <w:t xml:space="preserve">Do wprowadzających przedmiotowe wyroby do obrotu zostało skierowane wystąpienie  o uzupełnienie oznakowania. Do czasu prawidłowego oznakowania wyroby zostały wycofane z obrotu. </w:t>
      </w:r>
    </w:p>
    <w:p w14:paraId="06D416FB" w14:textId="53A0FF8C" w:rsidR="00E74FCC" w:rsidRPr="00076F2A" w:rsidRDefault="00953A64" w:rsidP="00FE2931">
      <w:pPr>
        <w:jc w:val="left"/>
        <w:rPr>
          <w:rFonts w:cs="Calibri"/>
        </w:rPr>
      </w:pPr>
      <w:r w:rsidRPr="00076F2A">
        <w:rPr>
          <w:rFonts w:cs="Calibri"/>
        </w:rPr>
        <w:t xml:space="preserve">Przeprowadzone kontrole wykazały ponadto, że wszystkie sprawdzane partie wyrobów </w:t>
      </w:r>
      <w:r w:rsidR="00E74FCC" w:rsidRPr="00076F2A">
        <w:rPr>
          <w:rFonts w:cs="Calibri"/>
        </w:rPr>
        <w:t>były zabezpieczone przed przypadkowym zapłonem -  osłonką</w:t>
      </w:r>
      <w:r w:rsidRPr="00076F2A">
        <w:rPr>
          <w:rFonts w:cs="Calibri"/>
        </w:rPr>
        <w:t xml:space="preserve"> (rakiety), </w:t>
      </w:r>
      <w:r w:rsidR="00E74FCC" w:rsidRPr="00076F2A">
        <w:rPr>
          <w:rFonts w:cs="Calibri"/>
        </w:rPr>
        <w:t xml:space="preserve"> nakleją w kolorze pomarańczowym (baterie) lub opakowaniem zestawu pirotechnicznego (petardy</w:t>
      </w:r>
      <w:r w:rsidRPr="00076F2A">
        <w:rPr>
          <w:rFonts w:cs="Calibri"/>
        </w:rPr>
        <w:t>, zimne ognie</w:t>
      </w:r>
      <w:r w:rsidR="00E74FCC" w:rsidRPr="00076F2A">
        <w:rPr>
          <w:rFonts w:cs="Calibri"/>
        </w:rPr>
        <w:t xml:space="preserve">).  </w:t>
      </w:r>
    </w:p>
    <w:p w14:paraId="4ED13DE9" w14:textId="66E02E2C" w:rsidR="00E74FCC" w:rsidRPr="00076F2A" w:rsidRDefault="00E74FCC" w:rsidP="00FE2931">
      <w:pPr>
        <w:jc w:val="left"/>
        <w:rPr>
          <w:rFonts w:cs="Calibri"/>
        </w:rPr>
      </w:pPr>
      <w:r w:rsidRPr="00076F2A">
        <w:rPr>
          <w:rFonts w:cs="Calibri"/>
        </w:rPr>
        <w:t>Korpusy wyrobów nie były uszkodzone</w:t>
      </w:r>
      <w:r w:rsidR="004B6C4F" w:rsidRPr="00076F2A">
        <w:rPr>
          <w:rFonts w:cs="Calibri"/>
        </w:rPr>
        <w:t>,</w:t>
      </w:r>
      <w:r w:rsidRPr="00076F2A">
        <w:rPr>
          <w:rFonts w:cs="Calibri"/>
        </w:rPr>
        <w:t xml:space="preserve"> nie było dziur, rozdarć, wybrzuszeń lub wgnieceń. </w:t>
      </w:r>
    </w:p>
    <w:p w14:paraId="4C40FAF8" w14:textId="0814C6C6" w:rsidR="00E74FCC" w:rsidRPr="00076F2A" w:rsidRDefault="00E74FCC" w:rsidP="00FE2931">
      <w:pPr>
        <w:jc w:val="left"/>
        <w:rPr>
          <w:rFonts w:cs="Calibri"/>
        </w:rPr>
      </w:pPr>
      <w:r w:rsidRPr="00076F2A">
        <w:rPr>
          <w:rFonts w:cs="Calibri"/>
        </w:rPr>
        <w:t>Materiał pirotechniczny nie wysypywał się z wyrobów</w:t>
      </w:r>
      <w:r w:rsidR="00953A64" w:rsidRPr="00076F2A">
        <w:rPr>
          <w:rFonts w:cs="Calibri"/>
        </w:rPr>
        <w:t xml:space="preserve"> – nie stwierdzono wad</w:t>
      </w:r>
      <w:r w:rsidR="00F16B8E">
        <w:rPr>
          <w:rFonts w:cs="Calibri"/>
        </w:rPr>
        <w:t xml:space="preserve"> </w:t>
      </w:r>
      <w:r w:rsidR="00953A64" w:rsidRPr="00076F2A">
        <w:rPr>
          <w:rFonts w:cs="Calibri"/>
        </w:rPr>
        <w:t>konstrukcyjnych</w:t>
      </w:r>
      <w:r w:rsidRPr="00076F2A">
        <w:rPr>
          <w:rFonts w:cs="Calibri"/>
        </w:rPr>
        <w:t>.</w:t>
      </w:r>
    </w:p>
    <w:p w14:paraId="20B3327D" w14:textId="77777777" w:rsidR="00AF7C62" w:rsidRPr="00076F2A" w:rsidRDefault="00AF7C62" w:rsidP="00FE2931">
      <w:pPr>
        <w:jc w:val="left"/>
        <w:rPr>
          <w:rFonts w:cs="Calibri"/>
        </w:rPr>
      </w:pPr>
    </w:p>
    <w:p w14:paraId="0ED8D1E7" w14:textId="77777777" w:rsidR="00E74FCC" w:rsidRPr="00076F2A" w:rsidRDefault="00E74FCC" w:rsidP="00FE2931">
      <w:pPr>
        <w:jc w:val="left"/>
        <w:rPr>
          <w:rFonts w:cs="Calibri"/>
        </w:rPr>
      </w:pPr>
    </w:p>
    <w:p w14:paraId="2C094CC9" w14:textId="77777777" w:rsidR="00E74FCC" w:rsidRDefault="00E74FCC" w:rsidP="00FE2931">
      <w:pPr>
        <w:jc w:val="left"/>
        <w:rPr>
          <w:rFonts w:ascii="Tahoma" w:hAnsi="Tahoma"/>
          <w:sz w:val="20"/>
          <w:szCs w:val="20"/>
        </w:rPr>
      </w:pPr>
    </w:p>
    <w:p w14:paraId="7D5640DC" w14:textId="77777777" w:rsidR="00E74FCC" w:rsidRPr="008A7023" w:rsidRDefault="00E74FCC" w:rsidP="00FE2931">
      <w:pPr>
        <w:spacing w:line="240" w:lineRule="auto"/>
        <w:jc w:val="left"/>
        <w:rPr>
          <w:rFonts w:ascii="Tahoma" w:hAnsi="Tahoma"/>
          <w:sz w:val="20"/>
          <w:szCs w:val="20"/>
        </w:rPr>
      </w:pPr>
    </w:p>
    <w:p w14:paraId="22DE300C" w14:textId="77777777" w:rsidR="00DC01B3" w:rsidRPr="00487890" w:rsidRDefault="00DC01B3" w:rsidP="00DC01B3">
      <w:pPr>
        <w:spacing w:line="240" w:lineRule="auto"/>
        <w:rPr>
          <w:rFonts w:ascii="Tahoma" w:hAnsi="Tahoma"/>
          <w:b/>
          <w:color w:val="000000" w:themeColor="text1"/>
          <w:sz w:val="6"/>
          <w:szCs w:val="6"/>
          <w:highlight w:val="yellow"/>
        </w:rPr>
      </w:pPr>
    </w:p>
    <w:p w14:paraId="54FCFF10" w14:textId="77777777" w:rsidR="00DC01B3" w:rsidRPr="00487890" w:rsidRDefault="00DC01B3" w:rsidP="00DC01B3">
      <w:pPr>
        <w:spacing w:line="240" w:lineRule="auto"/>
        <w:rPr>
          <w:rFonts w:ascii="Tahoma" w:hAnsi="Tahoma"/>
          <w:bCs/>
          <w:color w:val="000000" w:themeColor="text1"/>
          <w:sz w:val="6"/>
          <w:szCs w:val="6"/>
          <w:highlight w:val="yellow"/>
        </w:rPr>
      </w:pPr>
    </w:p>
    <w:p w14:paraId="08D1E31B" w14:textId="77777777" w:rsidR="00DC01B3" w:rsidRPr="00076F2A" w:rsidRDefault="00DC01B3" w:rsidP="00DC01B3">
      <w:pPr>
        <w:spacing w:line="240" w:lineRule="auto"/>
        <w:jc w:val="left"/>
        <w:rPr>
          <w:rFonts w:ascii="Tahoma" w:hAnsi="Tahoma"/>
          <w:iCs/>
          <w:color w:val="000000" w:themeColor="text1"/>
          <w:sz w:val="20"/>
          <w:szCs w:val="20"/>
        </w:rPr>
      </w:pPr>
      <w:r w:rsidRPr="00AF7C62">
        <w:rPr>
          <w:rFonts w:ascii="Tahoma" w:hAnsi="Tahoma"/>
          <w:i/>
          <w:color w:val="000000" w:themeColor="text1"/>
          <w:sz w:val="20"/>
          <w:szCs w:val="20"/>
        </w:rPr>
        <w:t xml:space="preserve">           </w:t>
      </w:r>
      <w:r w:rsidRPr="00076F2A">
        <w:rPr>
          <w:rFonts w:ascii="Tahoma" w:hAnsi="Tahoma"/>
          <w:iCs/>
          <w:color w:val="000000" w:themeColor="text1"/>
          <w:sz w:val="20"/>
          <w:szCs w:val="20"/>
        </w:rPr>
        <w:t xml:space="preserve">Sporządził:                                                                            Akceptował:                                                                       </w:t>
      </w:r>
    </w:p>
    <w:p w14:paraId="76D711F4" w14:textId="65D6EC56" w:rsidR="00D81C6A" w:rsidRDefault="00DC01B3" w:rsidP="002F6DBC">
      <w:pPr>
        <w:spacing w:line="240" w:lineRule="auto"/>
        <w:jc w:val="left"/>
        <w:rPr>
          <w:rFonts w:ascii="Tahoma" w:hAnsi="Tahoma"/>
          <w:snapToGrid w:val="0"/>
          <w:sz w:val="20"/>
          <w:szCs w:val="20"/>
        </w:rPr>
      </w:pPr>
      <w:r w:rsidRPr="00AF7C62">
        <w:rPr>
          <w:rFonts w:ascii="Tahoma" w:hAnsi="Tahoma"/>
          <w:i/>
          <w:color w:val="000000" w:themeColor="text1"/>
          <w:sz w:val="6"/>
          <w:szCs w:val="6"/>
        </w:rPr>
        <w:t xml:space="preserve">                                                    </w:t>
      </w:r>
      <w:r w:rsidRPr="00AF7C62">
        <w:rPr>
          <w:rFonts w:ascii="Tahoma" w:hAnsi="Tahoma"/>
          <w:color w:val="000000" w:themeColor="text1"/>
          <w:sz w:val="6"/>
          <w:szCs w:val="6"/>
        </w:rPr>
        <w:br/>
      </w:r>
      <w:r w:rsidRPr="00AF7C62">
        <w:rPr>
          <w:rFonts w:ascii="Tahoma" w:hAnsi="Tahoma"/>
          <w:color w:val="000000" w:themeColor="text1"/>
          <w:sz w:val="20"/>
          <w:szCs w:val="20"/>
        </w:rPr>
        <w:t xml:space="preserve">    </w:t>
      </w:r>
      <w:r w:rsidR="00AF7C62" w:rsidRPr="00AF7C62">
        <w:rPr>
          <w:rFonts w:ascii="Tahoma" w:hAnsi="Tahoma"/>
          <w:color w:val="000000" w:themeColor="text1"/>
          <w:sz w:val="20"/>
          <w:szCs w:val="20"/>
        </w:rPr>
        <w:t xml:space="preserve">specjalista Anna Antczak </w:t>
      </w:r>
      <w:r w:rsidRPr="00AF7C62">
        <w:rPr>
          <w:rFonts w:ascii="Tahoma" w:hAnsi="Tahoma"/>
          <w:color w:val="000000" w:themeColor="text1"/>
          <w:sz w:val="20"/>
          <w:szCs w:val="20"/>
        </w:rPr>
        <w:t xml:space="preserve">                                     </w:t>
      </w:r>
      <w:r w:rsidRPr="00AF7C62">
        <w:rPr>
          <w:rFonts w:ascii="Tahoma" w:hAnsi="Tahoma"/>
          <w:snapToGrid w:val="0"/>
          <w:sz w:val="20"/>
          <w:szCs w:val="20"/>
        </w:rPr>
        <w:t>Zastępca nacz. wydz. BP Adam Sobczyk</w:t>
      </w:r>
    </w:p>
    <w:p w14:paraId="068E5D45" w14:textId="77777777" w:rsidR="0040721E" w:rsidRDefault="0040721E" w:rsidP="002F6DBC">
      <w:pPr>
        <w:spacing w:line="240" w:lineRule="auto"/>
        <w:jc w:val="left"/>
        <w:rPr>
          <w:rFonts w:ascii="Tahoma" w:hAnsi="Tahoma"/>
          <w:snapToGrid w:val="0"/>
          <w:sz w:val="20"/>
          <w:szCs w:val="20"/>
        </w:rPr>
      </w:pPr>
    </w:p>
    <w:p w14:paraId="040CEEE9" w14:textId="77777777" w:rsidR="0040721E" w:rsidRDefault="0040721E" w:rsidP="002F6DBC">
      <w:pPr>
        <w:spacing w:line="240" w:lineRule="auto"/>
        <w:jc w:val="left"/>
        <w:rPr>
          <w:rFonts w:ascii="Tahoma" w:hAnsi="Tahoma"/>
          <w:snapToGrid w:val="0"/>
          <w:sz w:val="20"/>
          <w:szCs w:val="20"/>
        </w:rPr>
      </w:pPr>
    </w:p>
    <w:p w14:paraId="57D444C3" w14:textId="77777777" w:rsidR="0040721E" w:rsidRDefault="0040721E" w:rsidP="002F6DBC">
      <w:pPr>
        <w:spacing w:line="240" w:lineRule="auto"/>
        <w:jc w:val="left"/>
        <w:rPr>
          <w:rFonts w:ascii="Tahoma" w:hAnsi="Tahoma"/>
          <w:snapToGrid w:val="0"/>
          <w:sz w:val="20"/>
          <w:szCs w:val="20"/>
        </w:rPr>
      </w:pPr>
    </w:p>
    <w:sectPr w:rsidR="0040721E" w:rsidSect="004F693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66E3" w14:textId="77777777" w:rsidR="00D02164" w:rsidRDefault="00D02164">
      <w:pPr>
        <w:spacing w:line="240" w:lineRule="auto"/>
      </w:pPr>
      <w:r>
        <w:separator/>
      </w:r>
    </w:p>
  </w:endnote>
  <w:endnote w:type="continuationSeparator" w:id="0">
    <w:p w14:paraId="00F0A19E" w14:textId="77777777" w:rsidR="00D02164" w:rsidRDefault="00D02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4857" w14:textId="77777777" w:rsidR="005D5767" w:rsidRDefault="00906094" w:rsidP="000C66A7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C80228" w14:textId="77777777" w:rsidR="005D5767" w:rsidRDefault="005D5767" w:rsidP="000C6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68F1" w14:textId="77777777" w:rsidR="005D5767" w:rsidRDefault="005D5767" w:rsidP="000C66A7">
    <w:pPr>
      <w:pStyle w:val="Stopka"/>
      <w:rPr>
        <w:rStyle w:val="Numerstrony"/>
      </w:rPr>
    </w:pPr>
  </w:p>
  <w:p w14:paraId="4B05ABAF" w14:textId="77777777" w:rsidR="005D5767" w:rsidRDefault="005D5767" w:rsidP="000C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0A94" w14:textId="77777777" w:rsidR="00D02164" w:rsidRDefault="00D02164">
      <w:pPr>
        <w:spacing w:line="240" w:lineRule="auto"/>
      </w:pPr>
      <w:r>
        <w:separator/>
      </w:r>
    </w:p>
  </w:footnote>
  <w:footnote w:type="continuationSeparator" w:id="0">
    <w:p w14:paraId="2E1584B2" w14:textId="77777777" w:rsidR="00D02164" w:rsidRDefault="00D021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5961BD"/>
    <w:multiLevelType w:val="hybridMultilevel"/>
    <w:tmpl w:val="9ED6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696C"/>
    <w:multiLevelType w:val="hybridMultilevel"/>
    <w:tmpl w:val="43209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66D43"/>
    <w:multiLevelType w:val="hybridMultilevel"/>
    <w:tmpl w:val="6C682E26"/>
    <w:lvl w:ilvl="0" w:tplc="F872C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742AC"/>
    <w:multiLevelType w:val="hybridMultilevel"/>
    <w:tmpl w:val="F1AE6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6D2"/>
    <w:multiLevelType w:val="hybridMultilevel"/>
    <w:tmpl w:val="A3F8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0BB7"/>
    <w:multiLevelType w:val="hybridMultilevel"/>
    <w:tmpl w:val="3A22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96E44"/>
    <w:multiLevelType w:val="hybridMultilevel"/>
    <w:tmpl w:val="F432E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844017">
    <w:abstractNumId w:val="4"/>
  </w:num>
  <w:num w:numId="2" w16cid:durableId="1796169207">
    <w:abstractNumId w:val="1"/>
  </w:num>
  <w:num w:numId="3" w16cid:durableId="19281699">
    <w:abstractNumId w:val="7"/>
  </w:num>
  <w:num w:numId="4" w16cid:durableId="272253911">
    <w:abstractNumId w:val="6"/>
  </w:num>
  <w:num w:numId="5" w16cid:durableId="279721725">
    <w:abstractNumId w:val="2"/>
  </w:num>
  <w:num w:numId="6" w16cid:durableId="1752507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7091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4785472">
    <w:abstractNumId w:val="3"/>
  </w:num>
  <w:num w:numId="9" w16cid:durableId="2139764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6A"/>
    <w:rsid w:val="00017137"/>
    <w:rsid w:val="000355E7"/>
    <w:rsid w:val="000520A3"/>
    <w:rsid w:val="0006264A"/>
    <w:rsid w:val="00076F2A"/>
    <w:rsid w:val="000E0E04"/>
    <w:rsid w:val="00195326"/>
    <w:rsid w:val="001A4DB8"/>
    <w:rsid w:val="001C6752"/>
    <w:rsid w:val="001E1188"/>
    <w:rsid w:val="002C6942"/>
    <w:rsid w:val="002F6DBC"/>
    <w:rsid w:val="00387957"/>
    <w:rsid w:val="003B2E5B"/>
    <w:rsid w:val="003D43E4"/>
    <w:rsid w:val="003F1A7F"/>
    <w:rsid w:val="0040721E"/>
    <w:rsid w:val="00414F34"/>
    <w:rsid w:val="00443D98"/>
    <w:rsid w:val="0047382B"/>
    <w:rsid w:val="00487890"/>
    <w:rsid w:val="004A193C"/>
    <w:rsid w:val="004B6C4F"/>
    <w:rsid w:val="004E266D"/>
    <w:rsid w:val="004F6938"/>
    <w:rsid w:val="004F6D38"/>
    <w:rsid w:val="00541FDC"/>
    <w:rsid w:val="0057616C"/>
    <w:rsid w:val="005D5767"/>
    <w:rsid w:val="00641A17"/>
    <w:rsid w:val="00643F80"/>
    <w:rsid w:val="006445DA"/>
    <w:rsid w:val="00745D25"/>
    <w:rsid w:val="007D1BD0"/>
    <w:rsid w:val="007D6C12"/>
    <w:rsid w:val="007D6EFC"/>
    <w:rsid w:val="00810982"/>
    <w:rsid w:val="008178CA"/>
    <w:rsid w:val="00842EAB"/>
    <w:rsid w:val="008A2C65"/>
    <w:rsid w:val="008A7023"/>
    <w:rsid w:val="008C0EAB"/>
    <w:rsid w:val="008F4116"/>
    <w:rsid w:val="00902527"/>
    <w:rsid w:val="00906094"/>
    <w:rsid w:val="00953A64"/>
    <w:rsid w:val="00973CE8"/>
    <w:rsid w:val="00976C9B"/>
    <w:rsid w:val="00982E18"/>
    <w:rsid w:val="00A1177C"/>
    <w:rsid w:val="00A11D4B"/>
    <w:rsid w:val="00A13172"/>
    <w:rsid w:val="00A20AC2"/>
    <w:rsid w:val="00A50C87"/>
    <w:rsid w:val="00AF7C62"/>
    <w:rsid w:val="00B60C83"/>
    <w:rsid w:val="00BB07CD"/>
    <w:rsid w:val="00C63E1F"/>
    <w:rsid w:val="00CA1E21"/>
    <w:rsid w:val="00CF7200"/>
    <w:rsid w:val="00D02164"/>
    <w:rsid w:val="00D81C6A"/>
    <w:rsid w:val="00DC01B3"/>
    <w:rsid w:val="00E21FF1"/>
    <w:rsid w:val="00E61B3A"/>
    <w:rsid w:val="00E74FCC"/>
    <w:rsid w:val="00EA6D5C"/>
    <w:rsid w:val="00EE0B5A"/>
    <w:rsid w:val="00F16B8E"/>
    <w:rsid w:val="00F253FF"/>
    <w:rsid w:val="00F26D66"/>
    <w:rsid w:val="00F928F7"/>
    <w:rsid w:val="00FB4711"/>
    <w:rsid w:val="00FD5EB1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DCFB"/>
  <w15:chartTrackingRefBased/>
  <w15:docId w15:val="{4892CEE4-DD56-4B2E-8A97-5AC00DD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1B3"/>
    <w:pPr>
      <w:spacing w:after="0" w:line="360" w:lineRule="auto"/>
      <w:jc w:val="both"/>
    </w:pPr>
    <w:rPr>
      <w:rFonts w:ascii="Calibri" w:eastAsia="Times New Roman" w:hAnsi="Calibri" w:cs="Tahom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0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01B3"/>
    <w:rPr>
      <w:rFonts w:ascii="Calibri" w:eastAsia="Times New Roman" w:hAnsi="Calibri" w:cs="Tahoma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DC01B3"/>
  </w:style>
  <w:style w:type="paragraph" w:styleId="Akapitzlist">
    <w:name w:val="List Paragraph"/>
    <w:basedOn w:val="Normalny"/>
    <w:uiPriority w:val="34"/>
    <w:qFormat/>
    <w:rsid w:val="002F6DBC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40721E"/>
    <w:pPr>
      <w:suppressAutoHyphens/>
      <w:spacing w:before="100" w:after="100" w:line="240" w:lineRule="auto"/>
      <w:jc w:val="left"/>
    </w:pPr>
    <w:rPr>
      <w:rFonts w:ascii="Times New Roman" w:hAnsi="Times New Roman" w:cs="Times New Roman"/>
      <w:kern w:val="2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0721E"/>
    <w:pPr>
      <w:suppressAutoHyphens/>
      <w:spacing w:after="120" w:line="240" w:lineRule="auto"/>
      <w:jc w:val="left"/>
    </w:pPr>
    <w:rPr>
      <w:rFonts w:ascii="Times New Roman" w:hAnsi="Times New Roman" w:cs="Times New Roman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21E"/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0721E"/>
    <w:pPr>
      <w:suppressAutoHyphens/>
      <w:spacing w:line="240" w:lineRule="auto"/>
      <w:ind w:firstLine="567"/>
      <w:jc w:val="left"/>
    </w:pPr>
    <w:rPr>
      <w:rFonts w:ascii="Times New Roman" w:hAnsi="Times New Roman" w:cs="Times New Roman"/>
      <w:kern w:val="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721E"/>
    <w:rPr>
      <w:rFonts w:ascii="Times New Roman" w:eastAsia="Times New Roman" w:hAnsi="Times New Roman" w:cs="Times New Roman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Brzeszkiewicz</dc:creator>
  <cp:keywords/>
  <dc:description/>
  <cp:lastModifiedBy>Beata Aksamitowska</cp:lastModifiedBy>
  <cp:revision>2</cp:revision>
  <cp:lastPrinted>2025-03-03T08:44:00Z</cp:lastPrinted>
  <dcterms:created xsi:type="dcterms:W3CDTF">2025-03-13T07:29:00Z</dcterms:created>
  <dcterms:modified xsi:type="dcterms:W3CDTF">2025-03-13T07:29:00Z</dcterms:modified>
</cp:coreProperties>
</file>