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6DE9E93F" w:rsidR="00B83DC8" w:rsidRPr="0038273E" w:rsidRDefault="00B83DC8" w:rsidP="0038273E">
      <w:pPr>
        <w:tabs>
          <w:tab w:val="left" w:pos="5670"/>
        </w:tabs>
        <w:spacing w:line="360" w:lineRule="auto"/>
        <w:rPr>
          <w:rFonts w:asciiTheme="minorHAnsi" w:hAnsiTheme="minorHAnsi" w:cstheme="minorHAnsi"/>
        </w:rPr>
      </w:pPr>
      <w:r w:rsidRPr="0038273E">
        <w:rPr>
          <w:rFonts w:asciiTheme="minorHAnsi" w:hAnsiTheme="minorHAnsi" w:cstheme="minorHAnsi"/>
        </w:rPr>
        <w:t>Warszawa, dnia</w:t>
      </w:r>
      <w:r w:rsidR="002232BE" w:rsidRPr="0038273E">
        <w:rPr>
          <w:rFonts w:asciiTheme="minorHAnsi" w:hAnsiTheme="minorHAnsi" w:cstheme="minorHAnsi"/>
        </w:rPr>
        <w:t xml:space="preserve"> </w:t>
      </w:r>
      <w:r w:rsidR="008F63B2" w:rsidRPr="0038273E">
        <w:rPr>
          <w:rFonts w:asciiTheme="minorHAnsi" w:hAnsiTheme="minorHAnsi" w:cstheme="minorHAnsi"/>
        </w:rPr>
        <w:t>2</w:t>
      </w:r>
      <w:r w:rsidR="0034587B" w:rsidRPr="0038273E">
        <w:rPr>
          <w:rFonts w:asciiTheme="minorHAnsi" w:hAnsiTheme="minorHAnsi" w:cstheme="minorHAnsi"/>
        </w:rPr>
        <w:t>3</w:t>
      </w:r>
      <w:r w:rsidR="00511A19" w:rsidRPr="0038273E">
        <w:rPr>
          <w:rFonts w:asciiTheme="minorHAnsi" w:hAnsiTheme="minorHAnsi" w:cstheme="minorHAnsi"/>
        </w:rPr>
        <w:t xml:space="preserve"> </w:t>
      </w:r>
      <w:r w:rsidR="008F63B2" w:rsidRPr="0038273E">
        <w:rPr>
          <w:rFonts w:asciiTheme="minorHAnsi" w:hAnsiTheme="minorHAnsi" w:cstheme="minorHAnsi"/>
        </w:rPr>
        <w:t>maja</w:t>
      </w:r>
      <w:r w:rsidR="00511A19" w:rsidRPr="0038273E">
        <w:rPr>
          <w:rFonts w:asciiTheme="minorHAnsi" w:hAnsiTheme="minorHAnsi" w:cstheme="minorHAnsi"/>
        </w:rPr>
        <w:t xml:space="preserve"> </w:t>
      </w:r>
      <w:r w:rsidR="002232BE" w:rsidRPr="0038273E">
        <w:rPr>
          <w:rFonts w:asciiTheme="minorHAnsi" w:hAnsiTheme="minorHAnsi" w:cstheme="minorHAnsi"/>
        </w:rPr>
        <w:t>202</w:t>
      </w:r>
      <w:r w:rsidR="00276058" w:rsidRPr="0038273E">
        <w:rPr>
          <w:rFonts w:asciiTheme="minorHAnsi" w:hAnsiTheme="minorHAnsi" w:cstheme="minorHAnsi"/>
        </w:rPr>
        <w:t>5</w:t>
      </w:r>
      <w:r w:rsidR="002232BE" w:rsidRPr="0038273E">
        <w:rPr>
          <w:rFonts w:asciiTheme="minorHAnsi" w:hAnsiTheme="minorHAnsi" w:cstheme="minorHAnsi"/>
        </w:rPr>
        <w:t xml:space="preserve"> </w:t>
      </w:r>
      <w:r w:rsidRPr="0038273E">
        <w:rPr>
          <w:rFonts w:asciiTheme="minorHAnsi" w:hAnsiTheme="minorHAnsi" w:cstheme="minorHAnsi"/>
        </w:rPr>
        <w:t>r.</w:t>
      </w:r>
    </w:p>
    <w:p w14:paraId="486F91EF" w14:textId="36B590D7" w:rsidR="002232BE" w:rsidRPr="0038273E" w:rsidRDefault="00AE6BAF" w:rsidP="0038273E">
      <w:pPr>
        <w:tabs>
          <w:tab w:val="left" w:pos="462"/>
        </w:tabs>
        <w:spacing w:before="120" w:line="360" w:lineRule="auto"/>
        <w:rPr>
          <w:rFonts w:asciiTheme="minorHAnsi" w:hAnsiTheme="minorHAnsi" w:cstheme="minorHAnsi"/>
        </w:rPr>
      </w:pPr>
      <w:r w:rsidRPr="0038273E">
        <w:rPr>
          <w:rFonts w:asciiTheme="minorHAnsi" w:hAnsiTheme="minorHAnsi" w:cstheme="minorHAnsi"/>
        </w:rPr>
        <w:t>DO.8361.254.2024</w:t>
      </w:r>
    </w:p>
    <w:p w14:paraId="58A65C79" w14:textId="4EA68AE4" w:rsidR="00B83DC8" w:rsidRPr="0038273E" w:rsidRDefault="00B83DC8" w:rsidP="0038273E">
      <w:pPr>
        <w:tabs>
          <w:tab w:val="left" w:pos="462"/>
        </w:tabs>
        <w:spacing w:before="120" w:line="360" w:lineRule="auto"/>
        <w:rPr>
          <w:rFonts w:asciiTheme="minorHAnsi" w:hAnsiTheme="minorHAnsi" w:cstheme="minorHAnsi"/>
          <w:spacing w:val="10"/>
        </w:rPr>
      </w:pPr>
      <w:r w:rsidRPr="0038273E">
        <w:rPr>
          <w:rFonts w:asciiTheme="minorHAnsi" w:hAnsiTheme="minorHAnsi" w:cstheme="minorHAnsi"/>
        </w:rPr>
        <w:t xml:space="preserve">DECYZJA </w:t>
      </w:r>
      <w:r w:rsidR="00AE6BAF" w:rsidRPr="0038273E">
        <w:rPr>
          <w:rFonts w:asciiTheme="minorHAnsi" w:hAnsiTheme="minorHAnsi" w:cstheme="minorHAnsi"/>
        </w:rPr>
        <w:t>PO.187.C.124.2025.PK</w:t>
      </w:r>
    </w:p>
    <w:p w14:paraId="013682C6" w14:textId="0D15144B" w:rsidR="00B83DC8" w:rsidRPr="0038273E" w:rsidRDefault="00B83DC8" w:rsidP="0038273E">
      <w:pPr>
        <w:spacing w:line="360" w:lineRule="auto"/>
        <w:rPr>
          <w:rFonts w:asciiTheme="minorHAnsi" w:hAnsiTheme="minorHAnsi" w:cstheme="minorHAnsi"/>
        </w:rPr>
      </w:pPr>
      <w:r w:rsidRPr="0038273E">
        <w:rPr>
          <w:rFonts w:asciiTheme="minorHAnsi" w:hAnsiTheme="minorHAnsi" w:cstheme="minorHAnsi"/>
        </w:rPr>
        <w:t xml:space="preserve">Na podstawie art. 6 ust. 1 ustawy z dnia 9 maja 2014 r. o informowaniu o cenach towarów i usług </w:t>
      </w:r>
      <w:r w:rsidRPr="0038273E">
        <w:rPr>
          <w:rFonts w:asciiTheme="minorHAnsi" w:hAnsiTheme="minorHAnsi" w:cstheme="minorHAnsi"/>
        </w:rPr>
        <w:br/>
        <w:t>(Dz. U. z 2023 r. poz. 168) oraz art. 104 § 1 ustawy z dnia 14 czerwca 1960 r. Kodeks postępowania administracyjnego</w:t>
      </w:r>
      <w:r w:rsidR="00744D14" w:rsidRPr="0038273E">
        <w:rPr>
          <w:rFonts w:asciiTheme="minorHAnsi" w:hAnsiTheme="minorHAnsi" w:cstheme="minorHAnsi"/>
        </w:rPr>
        <w:t xml:space="preserve"> (Dz.U. z 2024 r. poz. 572) </w:t>
      </w:r>
      <w:r w:rsidRPr="0038273E">
        <w:rPr>
          <w:rFonts w:asciiTheme="minorHAnsi" w:hAnsiTheme="minorHAnsi" w:cstheme="minorHAnsi"/>
        </w:rPr>
        <w:t>po przeprowadzeniu postępowania administracyjnego,</w:t>
      </w:r>
    </w:p>
    <w:p w14:paraId="2343A03A" w14:textId="77777777" w:rsidR="00B83DC8" w:rsidRPr="0038273E" w:rsidRDefault="00B83DC8" w:rsidP="0038273E">
      <w:pPr>
        <w:spacing w:before="120" w:line="360" w:lineRule="auto"/>
        <w:rPr>
          <w:rFonts w:asciiTheme="minorHAnsi" w:hAnsiTheme="minorHAnsi" w:cstheme="minorHAnsi"/>
        </w:rPr>
      </w:pPr>
      <w:r w:rsidRPr="0038273E">
        <w:rPr>
          <w:rFonts w:asciiTheme="minorHAnsi" w:hAnsiTheme="minorHAnsi" w:cstheme="minorHAnsi"/>
        </w:rPr>
        <w:t>Mazowiecki Wojewódzki Inspektor Inspekcji Handlowej</w:t>
      </w:r>
    </w:p>
    <w:p w14:paraId="746690AF" w14:textId="22790821" w:rsidR="00B83DC8" w:rsidRPr="0038273E" w:rsidRDefault="00B83DC8" w:rsidP="0038273E">
      <w:pPr>
        <w:spacing w:line="360" w:lineRule="auto"/>
        <w:rPr>
          <w:rFonts w:asciiTheme="minorHAnsi" w:hAnsiTheme="minorHAnsi" w:cstheme="minorHAnsi"/>
        </w:rPr>
      </w:pPr>
      <w:r w:rsidRPr="0038273E">
        <w:rPr>
          <w:rFonts w:asciiTheme="minorHAnsi" w:hAnsiTheme="minorHAnsi" w:cstheme="minorHAnsi"/>
        </w:rPr>
        <w:t>wymierza przedsiębiorcy</w:t>
      </w:r>
      <w:r w:rsidR="00052845" w:rsidRPr="0038273E">
        <w:rPr>
          <w:rFonts w:asciiTheme="minorHAnsi" w:hAnsiTheme="minorHAnsi" w:cstheme="minorHAnsi"/>
        </w:rPr>
        <w:t>:</w:t>
      </w:r>
    </w:p>
    <w:p w14:paraId="3356A547" w14:textId="77777777" w:rsidR="00AE6BAF" w:rsidRPr="0038273E" w:rsidRDefault="00AE6BAF" w:rsidP="0038273E">
      <w:pPr>
        <w:spacing w:line="360" w:lineRule="auto"/>
        <w:rPr>
          <w:rFonts w:asciiTheme="minorHAnsi" w:hAnsiTheme="minorHAnsi" w:cstheme="minorHAnsi"/>
        </w:rPr>
      </w:pPr>
      <w:r w:rsidRPr="0038273E">
        <w:rPr>
          <w:rFonts w:asciiTheme="minorHAnsi" w:hAnsiTheme="minorHAnsi" w:cstheme="minorHAnsi"/>
        </w:rPr>
        <w:t>NIKE RETAIL B.V. (SPÓŁKA Z OGRANICZONĄ ODPOWIEDZIALNOŚCIĄ)</w:t>
      </w:r>
    </w:p>
    <w:p w14:paraId="1E0F76CE" w14:textId="77777777" w:rsidR="00AE6BAF" w:rsidRPr="0038273E" w:rsidRDefault="00AE6BAF" w:rsidP="0038273E">
      <w:pPr>
        <w:spacing w:line="360" w:lineRule="auto"/>
        <w:rPr>
          <w:rFonts w:asciiTheme="minorHAnsi" w:hAnsiTheme="minorHAnsi" w:cstheme="minorHAnsi"/>
        </w:rPr>
      </w:pPr>
      <w:r w:rsidRPr="0038273E">
        <w:rPr>
          <w:rFonts w:asciiTheme="minorHAnsi" w:hAnsiTheme="minorHAnsi" w:cstheme="minorHAnsi"/>
        </w:rPr>
        <w:t xml:space="preserve"> ODDZIAŁ W POLSCE</w:t>
      </w:r>
    </w:p>
    <w:p w14:paraId="524D776E" w14:textId="77777777" w:rsidR="00AE6BAF" w:rsidRPr="0038273E" w:rsidRDefault="00AE6BAF" w:rsidP="0038273E">
      <w:pPr>
        <w:spacing w:line="360" w:lineRule="auto"/>
        <w:rPr>
          <w:rFonts w:asciiTheme="minorHAnsi" w:hAnsiTheme="minorHAnsi" w:cstheme="minorHAnsi"/>
        </w:rPr>
      </w:pPr>
      <w:r w:rsidRPr="0038273E">
        <w:rPr>
          <w:rFonts w:asciiTheme="minorHAnsi" w:hAnsiTheme="minorHAnsi" w:cstheme="minorHAnsi"/>
        </w:rPr>
        <w:t>z siedzibą oddziału w Warszawie,</w:t>
      </w:r>
    </w:p>
    <w:p w14:paraId="5AD3F48B" w14:textId="00EB9274" w:rsidR="003D10CD" w:rsidRPr="0038273E" w:rsidRDefault="00AE6BAF" w:rsidP="0038273E">
      <w:pPr>
        <w:spacing w:line="360" w:lineRule="auto"/>
        <w:rPr>
          <w:rFonts w:asciiTheme="minorHAnsi" w:hAnsiTheme="minorHAnsi" w:cstheme="minorHAnsi"/>
        </w:rPr>
      </w:pPr>
      <w:r w:rsidRPr="0038273E">
        <w:rPr>
          <w:rFonts w:asciiTheme="minorHAnsi" w:hAnsiTheme="minorHAnsi" w:cstheme="minorHAnsi"/>
        </w:rPr>
        <w:t xml:space="preserve"> ul. Rondo Ignacego Daszyńskiego nr 2B, 00-843 Warszawa</w:t>
      </w:r>
    </w:p>
    <w:p w14:paraId="02086ED9" w14:textId="73924F77" w:rsidR="00B83DC8" w:rsidRPr="0038273E" w:rsidRDefault="00B83DC8" w:rsidP="0038273E">
      <w:pPr>
        <w:spacing w:after="120" w:line="360" w:lineRule="auto"/>
        <w:rPr>
          <w:rFonts w:asciiTheme="minorHAnsi" w:hAnsiTheme="minorHAnsi" w:cstheme="minorHAnsi"/>
        </w:rPr>
      </w:pPr>
      <w:r w:rsidRPr="0038273E">
        <w:rPr>
          <w:rFonts w:asciiTheme="minorHAnsi" w:hAnsiTheme="minorHAnsi" w:cstheme="minorHAnsi"/>
        </w:rPr>
        <w:t>karę pieniężną w wysokości</w:t>
      </w:r>
      <w:r w:rsidR="002232BE" w:rsidRPr="0038273E">
        <w:rPr>
          <w:rFonts w:asciiTheme="minorHAnsi" w:hAnsiTheme="minorHAnsi" w:cstheme="minorHAnsi"/>
        </w:rPr>
        <w:t xml:space="preserve"> </w:t>
      </w:r>
      <w:r w:rsidR="00AE6BAF" w:rsidRPr="0038273E">
        <w:rPr>
          <w:rFonts w:asciiTheme="minorHAnsi" w:hAnsiTheme="minorHAnsi" w:cstheme="minorHAnsi"/>
        </w:rPr>
        <w:t>1</w:t>
      </w:r>
      <w:r w:rsidR="003D10CD" w:rsidRPr="0038273E">
        <w:rPr>
          <w:rFonts w:asciiTheme="minorHAnsi" w:hAnsiTheme="minorHAnsi" w:cstheme="minorHAnsi"/>
        </w:rPr>
        <w:t>0</w:t>
      </w:r>
      <w:r w:rsidR="00511A19" w:rsidRPr="0038273E">
        <w:rPr>
          <w:rFonts w:asciiTheme="minorHAnsi" w:hAnsiTheme="minorHAnsi" w:cstheme="minorHAnsi"/>
        </w:rPr>
        <w:t xml:space="preserve">00 </w:t>
      </w:r>
      <w:r w:rsidRPr="0038273E">
        <w:rPr>
          <w:rFonts w:asciiTheme="minorHAnsi" w:hAnsiTheme="minorHAnsi" w:cstheme="minorHAnsi"/>
        </w:rPr>
        <w:t>zł (słownie:</w:t>
      </w:r>
      <w:r w:rsidR="002232BE" w:rsidRPr="0038273E">
        <w:rPr>
          <w:rFonts w:asciiTheme="minorHAnsi" w:hAnsiTheme="minorHAnsi" w:cstheme="minorHAnsi"/>
        </w:rPr>
        <w:t xml:space="preserve"> </w:t>
      </w:r>
      <w:r w:rsidR="009F7349" w:rsidRPr="0038273E">
        <w:rPr>
          <w:rFonts w:asciiTheme="minorHAnsi" w:hAnsiTheme="minorHAnsi" w:cstheme="minorHAnsi"/>
        </w:rPr>
        <w:t>tysiąc</w:t>
      </w:r>
      <w:r w:rsidR="006122D8" w:rsidRPr="0038273E">
        <w:rPr>
          <w:rFonts w:asciiTheme="minorHAnsi" w:hAnsiTheme="minorHAnsi" w:cstheme="minorHAnsi"/>
        </w:rPr>
        <w:t xml:space="preserve"> </w:t>
      </w:r>
      <w:r w:rsidRPr="0038273E">
        <w:rPr>
          <w:rFonts w:asciiTheme="minorHAnsi" w:hAnsiTheme="minorHAnsi" w:cstheme="minorHAnsi"/>
        </w:rPr>
        <w:t>złotych)</w:t>
      </w:r>
      <w:r w:rsidRPr="0038273E">
        <w:rPr>
          <w:rFonts w:asciiTheme="minorHAnsi" w:hAnsiTheme="minorHAnsi" w:cstheme="minorHAnsi"/>
          <w:color w:val="C00000"/>
        </w:rPr>
        <w:t xml:space="preserve"> </w:t>
      </w:r>
      <w:r w:rsidRPr="0038273E">
        <w:rPr>
          <w:rFonts w:asciiTheme="minorHAnsi" w:hAnsiTheme="minorHAnsi" w:cstheme="minorHAnsi"/>
          <w:color w:val="000000" w:themeColor="text1"/>
        </w:rPr>
        <w:t xml:space="preserve">z tytułu </w:t>
      </w:r>
      <w:r w:rsidRPr="0038273E">
        <w:rPr>
          <w:rFonts w:asciiTheme="minorHAnsi" w:hAnsiTheme="minorHAnsi" w:cstheme="minorHAnsi"/>
        </w:rPr>
        <w:t xml:space="preserve">niewykonania obowiązku, </w:t>
      </w:r>
      <w:r w:rsidRPr="0038273E">
        <w:rPr>
          <w:rFonts w:asciiTheme="minorHAnsi" w:hAnsiTheme="minorHAnsi" w:cstheme="minorHAnsi"/>
        </w:rPr>
        <w:br/>
        <w:t>o którym mowa w art. 4 ust. 1 ustawy z dnia 9 maja 2014 r. o informowaniu o cenach towarów i usług</w:t>
      </w:r>
      <w:bookmarkStart w:id="0" w:name="mip33063871"/>
      <w:bookmarkEnd w:id="0"/>
      <w:r w:rsidRPr="0038273E">
        <w:rPr>
          <w:rFonts w:asciiTheme="minorHAnsi" w:hAnsiTheme="minorHAnsi" w:cstheme="minorHAnsi"/>
        </w:rPr>
        <w:t xml:space="preserve">. </w:t>
      </w:r>
    </w:p>
    <w:p w14:paraId="2EEA34BD" w14:textId="3BEEE2BA" w:rsidR="00AE6BAF" w:rsidRPr="0038273E" w:rsidRDefault="00AE6BAF" w:rsidP="0038273E">
      <w:pPr>
        <w:spacing w:after="120" w:line="360" w:lineRule="auto"/>
        <w:rPr>
          <w:rFonts w:asciiTheme="minorHAnsi" w:hAnsiTheme="minorHAnsi" w:cstheme="minorHAnsi"/>
        </w:rPr>
      </w:pPr>
      <w:r w:rsidRPr="0038273E">
        <w:rPr>
          <w:rFonts w:asciiTheme="minorHAnsi" w:hAnsiTheme="minorHAnsi" w:cstheme="minorHAnsi"/>
        </w:rPr>
        <w:t xml:space="preserve">W toku kontroli, w sklepie Nike Value </w:t>
      </w:r>
      <w:proofErr w:type="spellStart"/>
      <w:r w:rsidRPr="0038273E">
        <w:rPr>
          <w:rFonts w:asciiTheme="minorHAnsi" w:hAnsiTheme="minorHAnsi" w:cstheme="minorHAnsi"/>
        </w:rPr>
        <w:t>Store</w:t>
      </w:r>
      <w:proofErr w:type="spellEnd"/>
      <w:r w:rsidRPr="0038273E">
        <w:rPr>
          <w:rFonts w:asciiTheme="minorHAnsi" w:hAnsiTheme="minorHAnsi" w:cstheme="minorHAnsi"/>
        </w:rPr>
        <w:t xml:space="preserve"> Annopol w Warszawie przy ul. Annopol 2/34 zakwestionowano 8 partii towarów. W miejscu sprzedaży detalicznej, ww. towarów stwierdzono brak uwidocznienia ich cen, co narusza art. 4 ust. 1 ww. ustawy oraz § 3 ust. 1 rozporządzenia Ministra Rozwoju i Technologii z dnia 19 grudnia 2022 r. w sprawie uwidaczniania cen towarów i usług (Dz. U. z 2022 r., poz. 2776) – szczegóły </w:t>
      </w:r>
      <w:r w:rsidR="00531FF1" w:rsidRPr="0038273E">
        <w:rPr>
          <w:rFonts w:asciiTheme="minorHAnsi" w:hAnsiTheme="minorHAnsi" w:cstheme="minorHAnsi"/>
        </w:rPr>
        <w:br/>
      </w:r>
      <w:r w:rsidRPr="0038273E">
        <w:rPr>
          <w:rFonts w:asciiTheme="minorHAnsi" w:hAnsiTheme="minorHAnsi" w:cstheme="minorHAnsi"/>
        </w:rPr>
        <w:t>w uzasadnieniu.</w:t>
      </w:r>
    </w:p>
    <w:p w14:paraId="1206DCC5" w14:textId="77777777" w:rsidR="00B83DC8" w:rsidRPr="0038273E" w:rsidRDefault="00B83DC8" w:rsidP="0038273E">
      <w:pPr>
        <w:spacing w:before="120" w:line="360" w:lineRule="auto"/>
        <w:rPr>
          <w:rFonts w:asciiTheme="minorHAnsi" w:hAnsiTheme="minorHAnsi" w:cstheme="minorHAnsi"/>
        </w:rPr>
      </w:pPr>
      <w:r w:rsidRPr="0038273E">
        <w:rPr>
          <w:rFonts w:asciiTheme="minorHAnsi" w:hAnsiTheme="minorHAnsi" w:cstheme="minorHAnsi"/>
        </w:rPr>
        <w:t>U Z A S A D N I E N I E</w:t>
      </w:r>
    </w:p>
    <w:p w14:paraId="318DCC0F" w14:textId="5091B7E4" w:rsidR="008F63B2" w:rsidRPr="0038273E" w:rsidRDefault="00276058" w:rsidP="0038273E">
      <w:pPr>
        <w:spacing w:line="360" w:lineRule="auto"/>
        <w:rPr>
          <w:rFonts w:asciiTheme="minorHAnsi" w:hAnsiTheme="minorHAnsi" w:cstheme="minorHAnsi"/>
        </w:rPr>
      </w:pPr>
      <w:r w:rsidRPr="0038273E">
        <w:rPr>
          <w:rFonts w:asciiTheme="minorHAnsi" w:hAnsiTheme="minorHAnsi" w:cstheme="minorHAnsi"/>
        </w:rPr>
        <w:t>W dniach</w:t>
      </w:r>
      <w:r w:rsidR="00987FDA" w:rsidRPr="0038273E">
        <w:rPr>
          <w:rFonts w:asciiTheme="minorHAnsi" w:hAnsiTheme="minorHAnsi" w:cstheme="minorHAnsi"/>
        </w:rPr>
        <w:t xml:space="preserve"> </w:t>
      </w:r>
      <w:r w:rsidR="00AE6BAF" w:rsidRPr="0038273E">
        <w:rPr>
          <w:rFonts w:asciiTheme="minorHAnsi" w:hAnsiTheme="minorHAnsi" w:cstheme="minorHAnsi"/>
        </w:rPr>
        <w:t>07</w:t>
      </w:r>
      <w:r w:rsidR="003D10CD" w:rsidRPr="0038273E">
        <w:rPr>
          <w:rFonts w:asciiTheme="minorHAnsi" w:hAnsiTheme="minorHAnsi" w:cstheme="minorHAnsi"/>
        </w:rPr>
        <w:t>.1</w:t>
      </w:r>
      <w:r w:rsidR="008F63B2" w:rsidRPr="0038273E">
        <w:rPr>
          <w:rFonts w:asciiTheme="minorHAnsi" w:hAnsiTheme="minorHAnsi" w:cstheme="minorHAnsi"/>
        </w:rPr>
        <w:t>1</w:t>
      </w:r>
      <w:r w:rsidR="003D10CD" w:rsidRPr="0038273E">
        <w:rPr>
          <w:rFonts w:asciiTheme="minorHAnsi" w:hAnsiTheme="minorHAnsi" w:cstheme="minorHAnsi"/>
        </w:rPr>
        <w:t xml:space="preserve">.2024 r. – </w:t>
      </w:r>
      <w:r w:rsidR="00AE6BAF" w:rsidRPr="0038273E">
        <w:rPr>
          <w:rFonts w:asciiTheme="minorHAnsi" w:hAnsiTheme="minorHAnsi" w:cstheme="minorHAnsi"/>
        </w:rPr>
        <w:t>13</w:t>
      </w:r>
      <w:r w:rsidR="003D10CD" w:rsidRPr="0038273E">
        <w:rPr>
          <w:rFonts w:asciiTheme="minorHAnsi" w:hAnsiTheme="minorHAnsi" w:cstheme="minorHAnsi"/>
        </w:rPr>
        <w:t>.1</w:t>
      </w:r>
      <w:r w:rsidR="008F63B2" w:rsidRPr="0038273E">
        <w:rPr>
          <w:rFonts w:asciiTheme="minorHAnsi" w:hAnsiTheme="minorHAnsi" w:cstheme="minorHAnsi"/>
        </w:rPr>
        <w:t>1</w:t>
      </w:r>
      <w:r w:rsidR="003D10CD" w:rsidRPr="0038273E">
        <w:rPr>
          <w:rFonts w:asciiTheme="minorHAnsi" w:hAnsiTheme="minorHAnsi" w:cstheme="minorHAnsi"/>
        </w:rPr>
        <w:t xml:space="preserve">.2024 r. </w:t>
      </w:r>
      <w:r w:rsidRPr="0038273E">
        <w:rPr>
          <w:rFonts w:asciiTheme="minorHAnsi" w:hAnsiTheme="minorHAnsi" w:cstheme="minorHAnsi"/>
        </w:rPr>
        <w:t xml:space="preserve">inspektorzy Wojewódzkiego Inspektoratu Inspekcji Handlowej </w:t>
      </w:r>
      <w:r w:rsidR="004D0CC1" w:rsidRPr="0038273E">
        <w:rPr>
          <w:rFonts w:asciiTheme="minorHAnsi" w:hAnsiTheme="minorHAnsi" w:cstheme="minorHAnsi"/>
        </w:rPr>
        <w:br/>
      </w:r>
      <w:r w:rsidRPr="0038273E">
        <w:rPr>
          <w:rFonts w:asciiTheme="minorHAnsi" w:hAnsiTheme="minorHAnsi" w:cstheme="minorHAnsi"/>
        </w:rPr>
        <w:t>w Warszawie</w:t>
      </w:r>
      <w:r w:rsidR="008F63B2" w:rsidRPr="0038273E">
        <w:rPr>
          <w:rFonts w:asciiTheme="minorHAnsi" w:hAnsiTheme="minorHAnsi" w:cstheme="minorHAnsi"/>
        </w:rPr>
        <w:t xml:space="preserve"> Delegatura w </w:t>
      </w:r>
      <w:r w:rsidR="00AE6BAF" w:rsidRPr="0038273E">
        <w:rPr>
          <w:rFonts w:asciiTheme="minorHAnsi" w:hAnsiTheme="minorHAnsi" w:cstheme="minorHAnsi"/>
        </w:rPr>
        <w:t>Ostrołęce</w:t>
      </w:r>
      <w:r w:rsidRPr="0038273E">
        <w:rPr>
          <w:rFonts w:asciiTheme="minorHAnsi" w:hAnsiTheme="minorHAnsi" w:cstheme="minorHAnsi"/>
        </w:rPr>
        <w:t>, przeprowadzili kontrolę przedsiębiorcy</w:t>
      </w:r>
      <w:r w:rsidR="00531FF1" w:rsidRPr="0038273E">
        <w:rPr>
          <w:rFonts w:asciiTheme="minorHAnsi" w:hAnsiTheme="minorHAnsi" w:cstheme="minorHAnsi"/>
        </w:rPr>
        <w:t>:</w:t>
      </w:r>
      <w:r w:rsidR="008F63B2" w:rsidRPr="0038273E">
        <w:rPr>
          <w:rFonts w:asciiTheme="minorHAnsi" w:hAnsiTheme="minorHAnsi" w:cstheme="minorHAnsi"/>
        </w:rPr>
        <w:t xml:space="preserve"> </w:t>
      </w:r>
      <w:r w:rsidR="00AE6BAF" w:rsidRPr="0038273E">
        <w:rPr>
          <w:rFonts w:asciiTheme="minorHAnsi" w:hAnsiTheme="minorHAnsi" w:cstheme="minorHAnsi"/>
        </w:rPr>
        <w:t>NIKE RETAIL B.V. (SPÓŁKA Z OGRANICZONĄ ODPOWIEDZIALNOŚCIĄ) ODDZIAŁ W POLSCE z siedzibą oddziału w Warszawie, ul. Rondo Ignacego Daszyńskiego nr 2B, 00-843 Warszawa</w:t>
      </w:r>
      <w:r w:rsidR="008F63B2" w:rsidRPr="0038273E">
        <w:rPr>
          <w:rFonts w:asciiTheme="minorHAnsi" w:hAnsiTheme="minorHAnsi" w:cstheme="minorHAnsi"/>
        </w:rPr>
        <w:t>.</w:t>
      </w:r>
    </w:p>
    <w:p w14:paraId="582D672B" w14:textId="54D51240" w:rsidR="00AE6BAF" w:rsidRPr="0038273E" w:rsidRDefault="00AE6BAF" w:rsidP="0038273E">
      <w:pPr>
        <w:spacing w:line="360" w:lineRule="auto"/>
        <w:rPr>
          <w:rFonts w:asciiTheme="minorHAnsi" w:hAnsiTheme="minorHAnsi" w:cstheme="minorHAnsi"/>
        </w:rPr>
      </w:pPr>
      <w:r w:rsidRPr="0038273E">
        <w:rPr>
          <w:rFonts w:asciiTheme="minorHAnsi" w:hAnsiTheme="minorHAnsi" w:cstheme="minorHAnsi"/>
        </w:rPr>
        <w:lastRenderedPageBreak/>
        <w:t xml:space="preserve">W toku kontroli, w sklepie Nike Value </w:t>
      </w:r>
      <w:proofErr w:type="spellStart"/>
      <w:r w:rsidRPr="0038273E">
        <w:rPr>
          <w:rFonts w:asciiTheme="minorHAnsi" w:hAnsiTheme="minorHAnsi" w:cstheme="minorHAnsi"/>
        </w:rPr>
        <w:t>Store</w:t>
      </w:r>
      <w:proofErr w:type="spellEnd"/>
      <w:r w:rsidRPr="0038273E">
        <w:rPr>
          <w:rFonts w:asciiTheme="minorHAnsi" w:hAnsiTheme="minorHAnsi" w:cstheme="minorHAnsi"/>
        </w:rPr>
        <w:t xml:space="preserve"> Annopol w Warszawie przy ul. Annopol 2/34 zakwestionowano 8 partii towarów:</w:t>
      </w:r>
    </w:p>
    <w:p w14:paraId="4DD96BE2" w14:textId="77777777" w:rsidR="00AE6BAF" w:rsidRPr="0038273E" w:rsidRDefault="00AE6BAF" w:rsidP="0038273E">
      <w:pPr>
        <w:pStyle w:val="Akapitzlist"/>
        <w:numPr>
          <w:ilvl w:val="0"/>
          <w:numId w:val="24"/>
        </w:numPr>
        <w:spacing w:line="360" w:lineRule="auto"/>
        <w:ind w:left="709" w:hanging="349"/>
        <w:rPr>
          <w:rFonts w:asciiTheme="minorHAnsi" w:hAnsiTheme="minorHAnsi" w:cstheme="minorHAnsi"/>
        </w:rPr>
        <w:sectPr w:rsidR="00AE6BAF" w:rsidRPr="0038273E" w:rsidSect="006122D8">
          <w:footerReference w:type="even" r:id="rId8"/>
          <w:footerReference w:type="default" r:id="rId9"/>
          <w:headerReference w:type="first" r:id="rId10"/>
          <w:footerReference w:type="first" r:id="rId11"/>
          <w:type w:val="continuous"/>
          <w:pgSz w:w="11907" w:h="16840" w:code="9"/>
          <w:pgMar w:top="709" w:right="1134" w:bottom="851" w:left="1134" w:header="284" w:footer="340" w:gutter="0"/>
          <w:pgNumType w:start="1"/>
          <w:cols w:space="708"/>
          <w:titlePg/>
          <w:docGrid w:linePitch="326"/>
        </w:sectPr>
      </w:pPr>
    </w:p>
    <w:p w14:paraId="7BDB4993" w14:textId="6091D0FF" w:rsidR="00AE6BAF" w:rsidRPr="0038273E" w:rsidRDefault="00AE6BAF" w:rsidP="0038273E">
      <w:pPr>
        <w:pStyle w:val="Akapitzlist"/>
        <w:numPr>
          <w:ilvl w:val="0"/>
          <w:numId w:val="24"/>
        </w:numPr>
        <w:spacing w:line="360" w:lineRule="auto"/>
        <w:ind w:left="709" w:hanging="349"/>
        <w:rPr>
          <w:rFonts w:asciiTheme="minorHAnsi" w:hAnsiTheme="minorHAnsi" w:cstheme="minorHAnsi"/>
        </w:rPr>
      </w:pPr>
      <w:r w:rsidRPr="0038273E">
        <w:rPr>
          <w:rFonts w:asciiTheme="minorHAnsi" w:hAnsiTheme="minorHAnsi" w:cstheme="minorHAnsi"/>
        </w:rPr>
        <w:t>Piłka DC2391-100,</w:t>
      </w:r>
    </w:p>
    <w:p w14:paraId="26A28C75" w14:textId="562EC986" w:rsidR="00AE6BAF" w:rsidRPr="0038273E" w:rsidRDefault="00AE6BAF" w:rsidP="0038273E">
      <w:pPr>
        <w:pStyle w:val="Akapitzlist"/>
        <w:numPr>
          <w:ilvl w:val="0"/>
          <w:numId w:val="24"/>
        </w:numPr>
        <w:spacing w:line="360" w:lineRule="auto"/>
        <w:ind w:left="709" w:hanging="349"/>
        <w:rPr>
          <w:rFonts w:asciiTheme="minorHAnsi" w:hAnsiTheme="minorHAnsi" w:cstheme="minorHAnsi"/>
        </w:rPr>
      </w:pPr>
      <w:r w:rsidRPr="0038273E">
        <w:rPr>
          <w:rFonts w:asciiTheme="minorHAnsi" w:hAnsiTheme="minorHAnsi" w:cstheme="minorHAnsi"/>
        </w:rPr>
        <w:t>Piłka DC2391-710,</w:t>
      </w:r>
    </w:p>
    <w:p w14:paraId="44F32850" w14:textId="432B964B" w:rsidR="00AE6BAF" w:rsidRPr="0038273E" w:rsidRDefault="00AE6BAF" w:rsidP="0038273E">
      <w:pPr>
        <w:pStyle w:val="Akapitzlist"/>
        <w:numPr>
          <w:ilvl w:val="0"/>
          <w:numId w:val="24"/>
        </w:numPr>
        <w:spacing w:line="360" w:lineRule="auto"/>
        <w:ind w:left="709" w:hanging="349"/>
        <w:rPr>
          <w:rFonts w:asciiTheme="minorHAnsi" w:hAnsiTheme="minorHAnsi" w:cstheme="minorHAnsi"/>
        </w:rPr>
      </w:pPr>
      <w:r w:rsidRPr="0038273E">
        <w:rPr>
          <w:rFonts w:asciiTheme="minorHAnsi" w:hAnsiTheme="minorHAnsi" w:cstheme="minorHAnsi"/>
        </w:rPr>
        <w:t>Piłka HF8092-710,</w:t>
      </w:r>
    </w:p>
    <w:p w14:paraId="3F5E6DAA" w14:textId="44DA9FE8" w:rsidR="00AE6BAF" w:rsidRPr="0038273E" w:rsidRDefault="00AE6BAF" w:rsidP="0038273E">
      <w:pPr>
        <w:pStyle w:val="Akapitzlist"/>
        <w:numPr>
          <w:ilvl w:val="0"/>
          <w:numId w:val="24"/>
        </w:numPr>
        <w:spacing w:line="360" w:lineRule="auto"/>
        <w:ind w:left="709" w:hanging="349"/>
        <w:rPr>
          <w:rFonts w:asciiTheme="minorHAnsi" w:hAnsiTheme="minorHAnsi" w:cstheme="minorHAnsi"/>
        </w:rPr>
      </w:pPr>
      <w:r w:rsidRPr="0038273E">
        <w:rPr>
          <w:rFonts w:asciiTheme="minorHAnsi" w:hAnsiTheme="minorHAnsi" w:cstheme="minorHAnsi"/>
        </w:rPr>
        <w:t>Piłka DC2380-710,</w:t>
      </w:r>
    </w:p>
    <w:p w14:paraId="24A1DC1D" w14:textId="45B29215" w:rsidR="00AE6BAF" w:rsidRPr="0038273E" w:rsidRDefault="00AE6BAF" w:rsidP="0038273E">
      <w:pPr>
        <w:pStyle w:val="Akapitzlist"/>
        <w:numPr>
          <w:ilvl w:val="0"/>
          <w:numId w:val="24"/>
        </w:numPr>
        <w:spacing w:line="360" w:lineRule="auto"/>
        <w:ind w:left="709" w:hanging="349"/>
        <w:rPr>
          <w:rFonts w:asciiTheme="minorHAnsi" w:hAnsiTheme="minorHAnsi" w:cstheme="minorHAnsi"/>
        </w:rPr>
      </w:pPr>
      <w:r w:rsidRPr="0038273E">
        <w:rPr>
          <w:rFonts w:asciiTheme="minorHAnsi" w:hAnsiTheme="minorHAnsi" w:cstheme="minorHAnsi"/>
        </w:rPr>
        <w:t>Piłka FB2987-710,</w:t>
      </w:r>
    </w:p>
    <w:p w14:paraId="708617B4" w14:textId="41830AE6" w:rsidR="00AE6BAF" w:rsidRPr="0038273E" w:rsidRDefault="00AE6BAF" w:rsidP="0038273E">
      <w:pPr>
        <w:pStyle w:val="Akapitzlist"/>
        <w:numPr>
          <w:ilvl w:val="0"/>
          <w:numId w:val="24"/>
        </w:numPr>
        <w:spacing w:line="360" w:lineRule="auto"/>
        <w:ind w:left="709" w:hanging="349"/>
        <w:rPr>
          <w:rFonts w:asciiTheme="minorHAnsi" w:hAnsiTheme="minorHAnsi" w:cstheme="minorHAnsi"/>
        </w:rPr>
      </w:pPr>
      <w:r w:rsidRPr="0038273E">
        <w:rPr>
          <w:rFonts w:asciiTheme="minorHAnsi" w:hAnsiTheme="minorHAnsi" w:cstheme="minorHAnsi"/>
        </w:rPr>
        <w:t>Piłka NKI3084-707,</w:t>
      </w:r>
    </w:p>
    <w:p w14:paraId="6348460E" w14:textId="72D6043D" w:rsidR="00AE6BAF" w:rsidRPr="0038273E" w:rsidRDefault="00AE6BAF" w:rsidP="0038273E">
      <w:pPr>
        <w:pStyle w:val="Akapitzlist"/>
        <w:numPr>
          <w:ilvl w:val="0"/>
          <w:numId w:val="24"/>
        </w:numPr>
        <w:spacing w:line="360" w:lineRule="auto"/>
        <w:ind w:left="709" w:hanging="349"/>
        <w:rPr>
          <w:rFonts w:asciiTheme="minorHAnsi" w:hAnsiTheme="minorHAnsi" w:cstheme="minorHAnsi"/>
        </w:rPr>
      </w:pPr>
      <w:r w:rsidRPr="0038273E">
        <w:rPr>
          <w:rFonts w:asciiTheme="minorHAnsi" w:hAnsiTheme="minorHAnsi" w:cstheme="minorHAnsi"/>
        </w:rPr>
        <w:t>Piłka NKI00-019,</w:t>
      </w:r>
    </w:p>
    <w:p w14:paraId="697D6CD2" w14:textId="6FFCA914" w:rsidR="00AE6BAF" w:rsidRPr="0038273E" w:rsidRDefault="00AE6BAF" w:rsidP="0038273E">
      <w:pPr>
        <w:pStyle w:val="Akapitzlist"/>
        <w:numPr>
          <w:ilvl w:val="0"/>
          <w:numId w:val="24"/>
        </w:numPr>
        <w:spacing w:line="360" w:lineRule="auto"/>
        <w:ind w:left="709" w:hanging="349"/>
        <w:rPr>
          <w:rFonts w:asciiTheme="minorHAnsi" w:hAnsiTheme="minorHAnsi" w:cstheme="minorHAnsi"/>
        </w:rPr>
      </w:pPr>
      <w:r w:rsidRPr="0038273E">
        <w:rPr>
          <w:rFonts w:asciiTheme="minorHAnsi" w:hAnsiTheme="minorHAnsi" w:cstheme="minorHAnsi"/>
        </w:rPr>
        <w:t>Piłka NKI3187-903.</w:t>
      </w:r>
    </w:p>
    <w:p w14:paraId="290C9D89" w14:textId="77777777" w:rsidR="00AE6BAF" w:rsidRPr="0038273E" w:rsidRDefault="00AE6BAF" w:rsidP="0038273E">
      <w:pPr>
        <w:spacing w:line="360" w:lineRule="auto"/>
        <w:rPr>
          <w:rFonts w:asciiTheme="minorHAnsi" w:hAnsiTheme="minorHAnsi" w:cstheme="minorHAnsi"/>
        </w:rPr>
        <w:sectPr w:rsidR="00AE6BAF" w:rsidRPr="0038273E" w:rsidSect="00AE6BAF">
          <w:type w:val="continuous"/>
          <w:pgSz w:w="11907" w:h="16840" w:code="9"/>
          <w:pgMar w:top="709" w:right="1134" w:bottom="851" w:left="1134" w:header="284" w:footer="340" w:gutter="0"/>
          <w:pgNumType w:start="1"/>
          <w:cols w:num="2" w:space="708"/>
          <w:titlePg/>
          <w:docGrid w:linePitch="326"/>
        </w:sectPr>
      </w:pPr>
    </w:p>
    <w:p w14:paraId="10674520" w14:textId="248160C9" w:rsidR="00AE6BAF" w:rsidRPr="0038273E" w:rsidRDefault="00AE6BAF" w:rsidP="0038273E">
      <w:pPr>
        <w:spacing w:line="360" w:lineRule="auto"/>
        <w:rPr>
          <w:rFonts w:asciiTheme="minorHAnsi" w:hAnsiTheme="minorHAnsi" w:cstheme="minorHAnsi"/>
        </w:rPr>
      </w:pPr>
      <w:r w:rsidRPr="0038273E">
        <w:rPr>
          <w:rFonts w:asciiTheme="minorHAnsi" w:hAnsiTheme="minorHAnsi" w:cstheme="minorHAnsi"/>
        </w:rPr>
        <w:t xml:space="preserve">W miejscu sprzedaży detalicznej, ww. towarów stwierdzono brak uwidocznienia ich cen, co narusza art. 4 ust. 1 ww. ustawy oraz § 3 ust. 1 rozporządzenia Ministra Rozwoju i Technologii z dnia 19 grudnia 2022 r. </w:t>
      </w:r>
      <w:r w:rsidR="00531FF1" w:rsidRPr="0038273E">
        <w:rPr>
          <w:rFonts w:asciiTheme="minorHAnsi" w:hAnsiTheme="minorHAnsi" w:cstheme="minorHAnsi"/>
        </w:rPr>
        <w:t xml:space="preserve"> </w:t>
      </w:r>
      <w:r w:rsidR="00531FF1" w:rsidRPr="0038273E">
        <w:rPr>
          <w:rFonts w:asciiTheme="minorHAnsi" w:hAnsiTheme="minorHAnsi" w:cstheme="minorHAnsi"/>
        </w:rPr>
        <w:br/>
      </w:r>
      <w:r w:rsidRPr="0038273E">
        <w:rPr>
          <w:rFonts w:asciiTheme="minorHAnsi" w:hAnsiTheme="minorHAnsi" w:cstheme="minorHAnsi"/>
        </w:rPr>
        <w:t>w sprawie uwidaczniania cen towarów i usług (Dz. U. z 2022 r., poz. 2776).</w:t>
      </w:r>
    </w:p>
    <w:p w14:paraId="25E4093F" w14:textId="77777777" w:rsidR="00AE6BAF" w:rsidRPr="0038273E" w:rsidRDefault="00AE6BAF" w:rsidP="0038273E">
      <w:pPr>
        <w:spacing w:line="360" w:lineRule="auto"/>
        <w:rPr>
          <w:rFonts w:asciiTheme="minorHAnsi" w:hAnsiTheme="minorHAnsi" w:cstheme="minorHAnsi"/>
        </w:rPr>
      </w:pPr>
    </w:p>
    <w:p w14:paraId="73335E28" w14:textId="787503AC" w:rsidR="00B83DC8" w:rsidRPr="0038273E" w:rsidRDefault="00B83DC8" w:rsidP="0038273E">
      <w:pPr>
        <w:spacing w:before="120" w:after="120" w:line="360" w:lineRule="auto"/>
        <w:rPr>
          <w:rFonts w:asciiTheme="minorHAnsi" w:hAnsiTheme="minorHAnsi" w:cstheme="minorHAnsi"/>
        </w:rPr>
      </w:pPr>
      <w:r w:rsidRPr="0038273E">
        <w:rPr>
          <w:rFonts w:asciiTheme="minorHAnsi" w:hAnsiTheme="minorHAnsi" w:cstheme="minorHAnsi"/>
        </w:rPr>
        <w:t>Mazowiecki Wojewódzki Inspektor Inspekcji Handlowej ustalił i stwierdził</w:t>
      </w:r>
      <w:r w:rsidR="004D0CC1" w:rsidRPr="0038273E">
        <w:rPr>
          <w:rFonts w:asciiTheme="minorHAnsi" w:hAnsiTheme="minorHAnsi" w:cstheme="minorHAnsi"/>
        </w:rPr>
        <w:t xml:space="preserve"> co następuje.</w:t>
      </w:r>
    </w:p>
    <w:p w14:paraId="3FE3CBE1" w14:textId="4DF4E9BF" w:rsidR="000653CF" w:rsidRPr="0038273E" w:rsidRDefault="00B83DC8" w:rsidP="0038273E">
      <w:pPr>
        <w:spacing w:before="120" w:after="120" w:line="360" w:lineRule="auto"/>
        <w:rPr>
          <w:rFonts w:asciiTheme="minorHAnsi" w:hAnsiTheme="minorHAnsi" w:cstheme="minorHAnsi"/>
        </w:rPr>
      </w:pPr>
      <w:r w:rsidRPr="0038273E">
        <w:rPr>
          <w:rFonts w:asciiTheme="minorHAnsi" w:hAnsiTheme="minorHAnsi" w:cstheme="minorHAnsi"/>
        </w:rPr>
        <w:t xml:space="preserve">W myśl art. 4 ust. 1 </w:t>
      </w:r>
      <w:bookmarkStart w:id="1" w:name="_Hlk157080017"/>
      <w:r w:rsidRPr="0038273E">
        <w:rPr>
          <w:rFonts w:asciiTheme="minorHAnsi" w:hAnsiTheme="minorHAnsi" w:cstheme="minorHAnsi"/>
        </w:rPr>
        <w:t>ustawy z dnia 9 maja 2014 r. o informowaniu o cenach towarów i usług</w:t>
      </w:r>
      <w:bookmarkEnd w:id="1"/>
      <w:r w:rsidRPr="0038273E">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4D0CC1" w:rsidRPr="0038273E">
        <w:rPr>
          <w:rFonts w:asciiTheme="minorHAnsi" w:hAnsiTheme="minorHAnsi" w:cstheme="minorHAnsi"/>
        </w:rPr>
        <w:t xml:space="preserve"> </w:t>
      </w:r>
      <w:r w:rsidRPr="0038273E">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w:t>
      </w:r>
    </w:p>
    <w:p w14:paraId="58C0FEE7" w14:textId="77777777" w:rsidR="00B83DC8" w:rsidRPr="0038273E" w:rsidRDefault="00B83DC8" w:rsidP="0038273E">
      <w:pPr>
        <w:spacing w:before="120" w:after="120" w:line="360" w:lineRule="auto"/>
        <w:rPr>
          <w:rFonts w:asciiTheme="minorHAnsi" w:hAnsiTheme="minorHAnsi" w:cstheme="minorHAnsi"/>
        </w:rPr>
      </w:pPr>
      <w:r w:rsidRPr="0038273E">
        <w:rPr>
          <w:rFonts w:asciiTheme="minorHAnsi" w:hAnsiTheme="minorHAnsi" w:cstheme="minorHAnsi"/>
        </w:rPr>
        <w:t>Zgodnie z art. 6 ust. 1 ww. ustawy, do przestrzegania obowiązków wynikających z art. 4 ust. 1-5 zobowiązany jest przedsiębiorca.</w:t>
      </w:r>
    </w:p>
    <w:p w14:paraId="0DBD047F" w14:textId="238215F9" w:rsidR="0065004D" w:rsidRPr="0038273E" w:rsidRDefault="00215FAD" w:rsidP="0038273E">
      <w:pPr>
        <w:spacing w:before="120" w:line="360" w:lineRule="auto"/>
        <w:rPr>
          <w:rFonts w:asciiTheme="minorHAnsi" w:hAnsiTheme="minorHAnsi" w:cstheme="minorHAnsi"/>
          <w:color w:val="000000"/>
        </w:rPr>
      </w:pPr>
      <w:r w:rsidRPr="0038273E">
        <w:rPr>
          <w:rFonts w:asciiTheme="minorHAnsi" w:hAnsiTheme="minorHAnsi" w:cstheme="minorHAnsi"/>
          <w:color w:val="000000"/>
        </w:rPr>
        <w:t>Mając powyższe na uwadze należy uznać, iż przedsiębiorca</w:t>
      </w:r>
      <w:r w:rsidR="00531FF1" w:rsidRPr="0038273E">
        <w:rPr>
          <w:rFonts w:asciiTheme="minorHAnsi" w:hAnsiTheme="minorHAnsi" w:cstheme="minorHAnsi"/>
          <w:color w:val="000000"/>
        </w:rPr>
        <w:t>:</w:t>
      </w:r>
      <w:r w:rsidR="008F52B0" w:rsidRPr="0038273E">
        <w:rPr>
          <w:rFonts w:asciiTheme="minorHAnsi" w:hAnsiTheme="minorHAnsi" w:cstheme="minorHAnsi"/>
          <w:color w:val="000000"/>
        </w:rPr>
        <w:t xml:space="preserve"> </w:t>
      </w:r>
      <w:r w:rsidR="00AE6BAF" w:rsidRPr="0038273E">
        <w:rPr>
          <w:rFonts w:asciiTheme="minorHAnsi" w:hAnsiTheme="minorHAnsi" w:cstheme="minorHAnsi"/>
        </w:rPr>
        <w:t xml:space="preserve">NIKE RETAIL B.V. (SPÓŁKA </w:t>
      </w:r>
      <w:r w:rsidR="00531FF1" w:rsidRPr="0038273E">
        <w:rPr>
          <w:rFonts w:asciiTheme="minorHAnsi" w:hAnsiTheme="minorHAnsi" w:cstheme="minorHAnsi"/>
        </w:rPr>
        <w:br/>
      </w:r>
      <w:r w:rsidR="00AE6BAF" w:rsidRPr="0038273E">
        <w:rPr>
          <w:rFonts w:asciiTheme="minorHAnsi" w:hAnsiTheme="minorHAnsi" w:cstheme="minorHAnsi"/>
        </w:rPr>
        <w:t>Z OGRANICZONĄ ODPOWIEDZIALNOŚCIĄ) ODDZIAŁ W POLSCE z siedzibą oddziału w Warszawie, ul. Rondo Ignacego Daszyńskiego nr 2B, 00-843 Warszawa</w:t>
      </w:r>
      <w:r w:rsidR="00764C62" w:rsidRPr="0038273E">
        <w:rPr>
          <w:rFonts w:asciiTheme="minorHAnsi" w:hAnsiTheme="minorHAnsi" w:cstheme="minorHAnsi"/>
          <w:color w:val="000000"/>
        </w:rPr>
        <w:t>, poprzez brak uwidocznienia</w:t>
      </w:r>
      <w:r w:rsidR="00713AE1" w:rsidRPr="0038273E">
        <w:rPr>
          <w:rFonts w:asciiTheme="minorHAnsi" w:hAnsiTheme="minorHAnsi" w:cstheme="minorHAnsi"/>
          <w:color w:val="000000"/>
        </w:rPr>
        <w:t xml:space="preserve"> cen</w:t>
      </w:r>
      <w:r w:rsidR="00713AE1" w:rsidRPr="0038273E">
        <w:rPr>
          <w:rFonts w:asciiTheme="minorHAnsi" w:hAnsiTheme="minorHAnsi" w:cstheme="minorHAnsi"/>
        </w:rPr>
        <w:t xml:space="preserve"> </w:t>
      </w:r>
      <w:r w:rsidR="00AE6BAF" w:rsidRPr="0038273E">
        <w:rPr>
          <w:rFonts w:asciiTheme="minorHAnsi" w:hAnsiTheme="minorHAnsi" w:cstheme="minorHAnsi"/>
        </w:rPr>
        <w:t xml:space="preserve">w sklepie Nike Value </w:t>
      </w:r>
      <w:proofErr w:type="spellStart"/>
      <w:r w:rsidR="00AE6BAF" w:rsidRPr="0038273E">
        <w:rPr>
          <w:rFonts w:asciiTheme="minorHAnsi" w:hAnsiTheme="minorHAnsi" w:cstheme="minorHAnsi"/>
        </w:rPr>
        <w:t>Store</w:t>
      </w:r>
      <w:proofErr w:type="spellEnd"/>
      <w:r w:rsidR="00AE6BAF" w:rsidRPr="0038273E">
        <w:rPr>
          <w:rFonts w:asciiTheme="minorHAnsi" w:hAnsiTheme="minorHAnsi" w:cstheme="minorHAnsi"/>
        </w:rPr>
        <w:t xml:space="preserve"> Annopol w Warszawie przy ul. Annopol 2/34</w:t>
      </w:r>
      <w:r w:rsidR="00C72DBF" w:rsidRPr="0038273E">
        <w:rPr>
          <w:rFonts w:asciiTheme="minorHAnsi" w:hAnsiTheme="minorHAnsi" w:cstheme="minorHAnsi"/>
          <w:color w:val="000000"/>
        </w:rPr>
        <w:t xml:space="preserve">, nie wykonał obowiązku z art. 4 ust. 1 ww. ustawy, tj. </w:t>
      </w:r>
      <w:r w:rsidR="00713AE1" w:rsidRPr="0038273E">
        <w:rPr>
          <w:rFonts w:asciiTheme="minorHAnsi" w:hAnsiTheme="minorHAnsi" w:cstheme="minorHAnsi"/>
          <w:color w:val="000000"/>
        </w:rPr>
        <w:t>uwidocznienia cen towarów w sposób jednoznaczny, niebudzący wątpliwości oraz umożliwiający porównanie cen</w:t>
      </w:r>
      <w:r w:rsidR="00C72DBF" w:rsidRPr="0038273E">
        <w:rPr>
          <w:rFonts w:asciiTheme="minorHAnsi" w:hAnsiTheme="minorHAnsi" w:cstheme="minorHAnsi"/>
          <w:color w:val="000000"/>
        </w:rPr>
        <w:t>.</w:t>
      </w:r>
    </w:p>
    <w:p w14:paraId="35AA529A" w14:textId="622F9E3B" w:rsidR="004F518F" w:rsidRPr="0038273E" w:rsidRDefault="00B83DC8" w:rsidP="0038273E">
      <w:pPr>
        <w:spacing w:before="120" w:after="120" w:line="360" w:lineRule="auto"/>
        <w:rPr>
          <w:rFonts w:asciiTheme="minorHAnsi" w:hAnsiTheme="minorHAnsi" w:cstheme="minorHAnsi"/>
        </w:rPr>
      </w:pPr>
      <w:r w:rsidRPr="0038273E">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38273E">
        <w:rPr>
          <w:rFonts w:asciiTheme="minorHAnsi" w:hAnsiTheme="minorHAnsi" w:cstheme="minorHAnsi"/>
          <w:color w:val="000000"/>
        </w:rPr>
        <w:t>ust. 1-5</w:t>
      </w:r>
      <w:r w:rsidRPr="0038273E">
        <w:rPr>
          <w:rFonts w:asciiTheme="minorHAnsi" w:hAnsiTheme="minorHAnsi" w:cstheme="minorHAnsi"/>
        </w:rPr>
        <w:t xml:space="preserve">, wojewódzki inspektor Inspekcji Handlowej nakłada na niego, w drodze decyzji, karę pieniężną do wysokości 20 000 zł. </w:t>
      </w:r>
    </w:p>
    <w:p w14:paraId="3CC8180B" w14:textId="06098A6E" w:rsidR="00B83DC8" w:rsidRPr="0038273E" w:rsidRDefault="00B83DC8" w:rsidP="0038273E">
      <w:pPr>
        <w:spacing w:before="120" w:after="120" w:line="360" w:lineRule="auto"/>
        <w:rPr>
          <w:rFonts w:asciiTheme="minorHAnsi" w:hAnsiTheme="minorHAnsi" w:cstheme="minorHAnsi"/>
        </w:rPr>
      </w:pPr>
      <w:r w:rsidRPr="0038273E">
        <w:rPr>
          <w:rFonts w:asciiTheme="minorHAnsi" w:hAnsiTheme="minorHAnsi" w:cstheme="minorHAnsi"/>
        </w:rPr>
        <w:t>W związku z powyższy</w:t>
      </w:r>
      <w:r w:rsidR="008B68CF" w:rsidRPr="0038273E">
        <w:rPr>
          <w:rFonts w:asciiTheme="minorHAnsi" w:hAnsiTheme="minorHAnsi" w:cstheme="minorHAnsi"/>
        </w:rPr>
        <w:t>m</w:t>
      </w:r>
      <w:r w:rsidR="00451777" w:rsidRPr="0038273E">
        <w:rPr>
          <w:rFonts w:asciiTheme="minorHAnsi" w:hAnsiTheme="minorHAnsi" w:cstheme="minorHAnsi"/>
        </w:rPr>
        <w:t>,</w:t>
      </w:r>
      <w:r w:rsidR="002232BE" w:rsidRPr="0038273E">
        <w:rPr>
          <w:rFonts w:asciiTheme="minorHAnsi" w:hAnsiTheme="minorHAnsi" w:cstheme="minorHAnsi"/>
        </w:rPr>
        <w:t xml:space="preserve"> </w:t>
      </w:r>
      <w:r w:rsidR="000F696F" w:rsidRPr="0038273E">
        <w:rPr>
          <w:rFonts w:asciiTheme="minorHAnsi" w:hAnsiTheme="minorHAnsi" w:cstheme="minorHAnsi"/>
        </w:rPr>
        <w:t xml:space="preserve">pismem z dnia </w:t>
      </w:r>
      <w:r w:rsidR="004F518F" w:rsidRPr="0038273E">
        <w:rPr>
          <w:rFonts w:asciiTheme="minorHAnsi" w:hAnsiTheme="minorHAnsi" w:cstheme="minorHAnsi"/>
        </w:rPr>
        <w:t>2</w:t>
      </w:r>
      <w:r w:rsidR="00AE6BAF" w:rsidRPr="0038273E">
        <w:rPr>
          <w:rFonts w:asciiTheme="minorHAnsi" w:hAnsiTheme="minorHAnsi" w:cstheme="minorHAnsi"/>
        </w:rPr>
        <w:t>5</w:t>
      </w:r>
      <w:r w:rsidR="003867E9" w:rsidRPr="0038273E">
        <w:rPr>
          <w:rFonts w:asciiTheme="minorHAnsi" w:hAnsiTheme="minorHAnsi" w:cstheme="minorHAnsi"/>
        </w:rPr>
        <w:t>.0</w:t>
      </w:r>
      <w:r w:rsidR="00713AE1" w:rsidRPr="0038273E">
        <w:rPr>
          <w:rFonts w:asciiTheme="minorHAnsi" w:hAnsiTheme="minorHAnsi" w:cstheme="minorHAnsi"/>
        </w:rPr>
        <w:t>4</w:t>
      </w:r>
      <w:r w:rsidR="003867E9" w:rsidRPr="0038273E">
        <w:rPr>
          <w:rFonts w:asciiTheme="minorHAnsi" w:hAnsiTheme="minorHAnsi" w:cstheme="minorHAnsi"/>
        </w:rPr>
        <w:t xml:space="preserve">.2025 r. </w:t>
      </w:r>
      <w:r w:rsidRPr="0038273E">
        <w:rPr>
          <w:rFonts w:asciiTheme="minorHAnsi" w:hAnsiTheme="minorHAnsi" w:cstheme="minorHAnsi"/>
        </w:rPr>
        <w:t>Mazowiecki Wojewódzki Inspektor Inspekcji Handlowej działając</w:t>
      </w:r>
      <w:r w:rsidR="000F696F" w:rsidRPr="0038273E">
        <w:rPr>
          <w:rFonts w:asciiTheme="minorHAnsi" w:hAnsiTheme="minorHAnsi" w:cstheme="minorHAnsi"/>
        </w:rPr>
        <w:t xml:space="preserve"> </w:t>
      </w:r>
      <w:r w:rsidRPr="0038273E">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2" w:name="_Hlk137456347"/>
      <w:r w:rsidRPr="0038273E">
        <w:rPr>
          <w:rFonts w:asciiTheme="minorHAnsi" w:hAnsiTheme="minorHAnsi" w:cstheme="minorHAnsi"/>
        </w:rPr>
        <w:lastRenderedPageBreak/>
        <w:t>ustawy z dnia 9</w:t>
      </w:r>
      <w:r w:rsidR="000F696F" w:rsidRPr="0038273E">
        <w:rPr>
          <w:rFonts w:asciiTheme="minorHAnsi" w:hAnsiTheme="minorHAnsi" w:cstheme="minorHAnsi"/>
        </w:rPr>
        <w:t xml:space="preserve"> </w:t>
      </w:r>
      <w:r w:rsidRPr="0038273E">
        <w:rPr>
          <w:rFonts w:asciiTheme="minorHAnsi" w:hAnsiTheme="minorHAnsi" w:cstheme="minorHAnsi"/>
        </w:rPr>
        <w:t>maja 2014 r.</w:t>
      </w:r>
      <w:r w:rsidR="000F696F" w:rsidRPr="0038273E">
        <w:rPr>
          <w:rFonts w:asciiTheme="minorHAnsi" w:hAnsiTheme="minorHAnsi" w:cstheme="minorHAnsi"/>
        </w:rPr>
        <w:t xml:space="preserve"> </w:t>
      </w:r>
      <w:r w:rsidRPr="0038273E">
        <w:rPr>
          <w:rFonts w:asciiTheme="minorHAnsi" w:hAnsiTheme="minorHAnsi" w:cstheme="minorHAnsi"/>
        </w:rPr>
        <w:t>o informowaniu o cenach towarów i usług</w:t>
      </w:r>
      <w:bookmarkEnd w:id="2"/>
      <w:r w:rsidRPr="0038273E">
        <w:rPr>
          <w:rFonts w:asciiTheme="minorHAnsi" w:hAnsiTheme="minorHAnsi" w:cstheme="minorHAnsi"/>
        </w:rPr>
        <w:t xml:space="preserve">, z tytułu niewykonania obowiązku wynikającego </w:t>
      </w:r>
      <w:r w:rsidR="004D0CC1" w:rsidRPr="0038273E">
        <w:rPr>
          <w:rFonts w:asciiTheme="minorHAnsi" w:hAnsiTheme="minorHAnsi" w:cstheme="minorHAnsi"/>
        </w:rPr>
        <w:br/>
      </w:r>
      <w:r w:rsidRPr="0038273E">
        <w:rPr>
          <w:rFonts w:asciiTheme="minorHAnsi" w:hAnsiTheme="minorHAnsi" w:cstheme="minorHAnsi"/>
        </w:rPr>
        <w:t>z art. 4 ust. 1</w:t>
      </w:r>
      <w:r w:rsidR="000F696F" w:rsidRPr="0038273E">
        <w:rPr>
          <w:rFonts w:asciiTheme="minorHAnsi" w:hAnsiTheme="minorHAnsi" w:cstheme="minorHAnsi"/>
        </w:rPr>
        <w:t xml:space="preserve"> </w:t>
      </w:r>
      <w:r w:rsidRPr="0038273E">
        <w:rPr>
          <w:rFonts w:asciiTheme="minorHAnsi" w:hAnsiTheme="minorHAnsi" w:cstheme="minorHAnsi"/>
        </w:rPr>
        <w:t>ww. ustawy. W zawiadomieniu stronę pouczono o przysługującym jej prawie wypowiedzenia się, co do zebranych dowodów i materiałów.</w:t>
      </w:r>
    </w:p>
    <w:p w14:paraId="079CA929" w14:textId="014875C8" w:rsidR="00AE6BAF" w:rsidRPr="0038273E" w:rsidRDefault="00AE6BAF" w:rsidP="0038273E">
      <w:pPr>
        <w:spacing w:before="120" w:after="120" w:line="360" w:lineRule="auto"/>
        <w:rPr>
          <w:rFonts w:asciiTheme="minorHAnsi" w:hAnsiTheme="minorHAnsi" w:cstheme="minorHAnsi"/>
        </w:rPr>
      </w:pPr>
      <w:r w:rsidRPr="0038273E">
        <w:rPr>
          <w:rFonts w:asciiTheme="minorHAnsi" w:hAnsiTheme="minorHAnsi" w:cstheme="minorHAnsi"/>
        </w:rPr>
        <w:t xml:space="preserve">Strona złożyła wyjaśnienia w sprawie wraz z informacją, iż nie zidentyfikowała ona żadnych korzyści i strat w związku z przedmiotowym naruszeniem. Ponadto przekazała wysokość przychodów netto (bez VAT) </w:t>
      </w:r>
      <w:r w:rsidR="00531FF1" w:rsidRPr="0038273E">
        <w:rPr>
          <w:rFonts w:asciiTheme="minorHAnsi" w:hAnsiTheme="minorHAnsi" w:cstheme="minorHAnsi"/>
        </w:rPr>
        <w:br/>
      </w:r>
      <w:r w:rsidRPr="0038273E">
        <w:rPr>
          <w:rFonts w:asciiTheme="minorHAnsi" w:hAnsiTheme="minorHAnsi" w:cstheme="minorHAnsi"/>
        </w:rPr>
        <w:t xml:space="preserve">oraz całkowitych przychodów (z VAT) w roku obrotowym 2024 zaznaczając, że wskazane przychody obejmują zarówno sprzedaż w sklepach jak i sprzedaż internetową. Wskazała również, że nieprawidłowości dotyczyły piłek, które stanowią niewielki odsetek produktów oferowanych przez przedsiębiorcę, których sprzedaż stanowi około 0,15 % przychodów netto skontrolowanego sklepu. W związku z powyższym strona argumentuje, że obrót osiągnięty w związku ze sprzedażą zakwestionowanych towarów stanowi znikomą część przekazanych przychodów. </w:t>
      </w:r>
    </w:p>
    <w:p w14:paraId="2F92657A" w14:textId="650F6168" w:rsidR="00713AE1" w:rsidRPr="0038273E" w:rsidRDefault="00AE6BAF" w:rsidP="0038273E">
      <w:pPr>
        <w:spacing w:before="120" w:after="120" w:line="360" w:lineRule="auto"/>
        <w:rPr>
          <w:rFonts w:asciiTheme="minorHAnsi" w:hAnsiTheme="minorHAnsi" w:cstheme="minorHAnsi"/>
        </w:rPr>
      </w:pPr>
      <w:r w:rsidRPr="0038273E">
        <w:rPr>
          <w:rFonts w:asciiTheme="minorHAnsi" w:hAnsiTheme="minorHAnsi" w:cstheme="minorHAnsi"/>
        </w:rPr>
        <w:t xml:space="preserve">Następnie przedsiębiorca przytoczył okoliczności takie jak gdzie i kiedy przeprowadzono kontrolę </w:t>
      </w:r>
      <w:r w:rsidR="00531FF1" w:rsidRPr="0038273E">
        <w:rPr>
          <w:rFonts w:asciiTheme="minorHAnsi" w:hAnsiTheme="minorHAnsi" w:cstheme="minorHAnsi"/>
        </w:rPr>
        <w:br/>
      </w:r>
      <w:r w:rsidRPr="0038273E">
        <w:rPr>
          <w:rFonts w:asciiTheme="minorHAnsi" w:hAnsiTheme="minorHAnsi" w:cstheme="minorHAnsi"/>
        </w:rPr>
        <w:t>oraz wskazał, że zakwestionowano 8 produktów. Zaznaczył również, że w toku kontroli sprawdzono 150 partii towarów, w związku z czym zdaniem przedsiębiorcy, zidentyfikowane nieprawidłowości dotyczyły jedynie bardzo niewielkiej części szerokiego asortymentu Nike. Strona podkreśliła charakter zakwestionowanych partii towarów i jego znaczenie w kontekście stwierdzonych nieprawidłowości. Wskazała, że te produkty są piłkami, które sprzedaje się w napompowanej formie umożliwiającej konsumentom sprawdzenie ich właściwości. Zaznaczyła również, że w związku z tą formą wiążą się trudności w umocowaniu naklejki z ceną ze względu na okrągły kształt piłek. Następnie przedsiębiorca poinformował, że w przypadku niedociągnięć w powyższym zakresie</w:t>
      </w:r>
      <w:r w:rsidR="00531FF1" w:rsidRPr="0038273E">
        <w:rPr>
          <w:rFonts w:asciiTheme="minorHAnsi" w:hAnsiTheme="minorHAnsi" w:cstheme="minorHAnsi"/>
        </w:rPr>
        <w:t>,</w:t>
      </w:r>
      <w:r w:rsidRPr="0038273E">
        <w:rPr>
          <w:rFonts w:asciiTheme="minorHAnsi" w:hAnsiTheme="minorHAnsi" w:cstheme="minorHAnsi"/>
        </w:rPr>
        <w:t xml:space="preserve"> np. odklejenia się naklejki, pracownicy obsługi klienta pozostają czujni na wypadek, gdyby konsument miał pytania na temat określonego produktu. Poinformował również o tym, że pracownicy aktywnie podchodzą do konsumentów podczas ich wizyty w sklepie i oferują im pomoc. Strona, powołując się na powyższe, argumentowała, że niedogodności dla konsumentów spowodowane stwierdzonymi uchybieniami były znikome. Następnie przytoczyła okoliczność naprawienia nieprawidłowości </w:t>
      </w:r>
      <w:r w:rsidR="00531FF1" w:rsidRPr="0038273E">
        <w:rPr>
          <w:rFonts w:asciiTheme="minorHAnsi" w:hAnsiTheme="minorHAnsi" w:cstheme="minorHAnsi"/>
        </w:rPr>
        <w:br/>
      </w:r>
      <w:r w:rsidRPr="0038273E">
        <w:rPr>
          <w:rFonts w:asciiTheme="minorHAnsi" w:hAnsiTheme="minorHAnsi" w:cstheme="minorHAnsi"/>
        </w:rPr>
        <w:t xml:space="preserve">przez pracownika. Przedsiębiorca poinformował również, że sprawdził prowadzone przez niego sklepy pod kątem podobnych nieprawidłowości i oświadczył, że wszystkie piłki są prawidłowo oznaczone. Powołując się na znikomość przedmiotowego naruszenia oraz niezwłocznego jego naprawienia, strona wskazuje, </w:t>
      </w:r>
      <w:r w:rsidR="00531FF1" w:rsidRPr="0038273E">
        <w:rPr>
          <w:rFonts w:asciiTheme="minorHAnsi" w:hAnsiTheme="minorHAnsi" w:cstheme="minorHAnsi"/>
        </w:rPr>
        <w:t>że</w:t>
      </w:r>
      <w:r w:rsidRPr="0038273E">
        <w:rPr>
          <w:rFonts w:asciiTheme="minorHAnsi" w:hAnsiTheme="minorHAnsi" w:cstheme="minorHAnsi"/>
        </w:rPr>
        <w:t xml:space="preserve"> spełnione zostały przesłanki określone w art. 189f § 1 pkt 1 kpa. Wobec powyższego wnosi o odstąpienie </w:t>
      </w:r>
      <w:r w:rsidR="00531FF1" w:rsidRPr="0038273E">
        <w:rPr>
          <w:rFonts w:asciiTheme="minorHAnsi" w:hAnsiTheme="minorHAnsi" w:cstheme="minorHAnsi"/>
        </w:rPr>
        <w:br/>
      </w:r>
      <w:r w:rsidRPr="0038273E">
        <w:rPr>
          <w:rFonts w:asciiTheme="minorHAnsi" w:hAnsiTheme="minorHAnsi" w:cstheme="minorHAnsi"/>
        </w:rPr>
        <w:t xml:space="preserve">od nałożenia administracyjnej kary pieniężnej i poprzestania na pouczeniu. Następnie </w:t>
      </w:r>
      <w:r w:rsidRPr="0038273E">
        <w:rPr>
          <w:rFonts w:asciiTheme="minorHAnsi" w:hAnsiTheme="minorHAnsi" w:cstheme="minorHAnsi"/>
        </w:rPr>
        <w:lastRenderedPageBreak/>
        <w:t xml:space="preserve">przedsiębiorca wnosi </w:t>
      </w:r>
      <w:r w:rsidR="00531FF1" w:rsidRPr="0038273E">
        <w:rPr>
          <w:rFonts w:asciiTheme="minorHAnsi" w:hAnsiTheme="minorHAnsi" w:cstheme="minorHAnsi"/>
        </w:rPr>
        <w:br/>
      </w:r>
      <w:r w:rsidRPr="0038273E">
        <w:rPr>
          <w:rFonts w:asciiTheme="minorHAnsi" w:hAnsiTheme="minorHAnsi" w:cstheme="minorHAnsi"/>
        </w:rPr>
        <w:t>o wymierzenie kary w symbolicznej wysokości zastrzegając ten wniosek jedynie w sytuacji nieuwzględnienia przez Organ powyższego wniosku o zastosowanie art. 189f § 1 pkt 1 kpa. Zasadność symbolicznej wysokości kary strona uzasadnia nieznacznym stopniem naruszenia, w szczególności w kontekście charakterystyki produktów, których dotyczy sprawa, oraz niezwłocznych działań przedsiębiorcy mających na celu uzupełnienie brakujących informacji o cenach i zapobieżenie jakimkolwiek przyszłym nieprawidłowościom w jego sklepach, co zdaniem przedsiębiorcy należy uwzględnić zgodnie z art. 6 ust. 3 pkt 1-2 ww. ustawy.</w:t>
      </w:r>
    </w:p>
    <w:p w14:paraId="14902FC3" w14:textId="4132AF75" w:rsidR="00AE6BAF" w:rsidRPr="0038273E" w:rsidRDefault="00713AE1" w:rsidP="0038273E">
      <w:pPr>
        <w:spacing w:before="120" w:after="120" w:line="360" w:lineRule="auto"/>
        <w:rPr>
          <w:rFonts w:asciiTheme="minorHAnsi" w:hAnsiTheme="minorHAnsi" w:cstheme="minorHAnsi"/>
        </w:rPr>
      </w:pPr>
      <w:r w:rsidRPr="0038273E">
        <w:rPr>
          <w:rFonts w:asciiTheme="minorHAnsi" w:hAnsiTheme="minorHAnsi" w:cstheme="minorHAnsi"/>
        </w:rPr>
        <w:t>Mazowiecki Wojewódzki Inspektor Inspekcji Handlowej</w:t>
      </w:r>
      <w:r w:rsidR="00AE6BAF" w:rsidRPr="0038273E">
        <w:rPr>
          <w:rFonts w:asciiTheme="minorHAnsi" w:hAnsiTheme="minorHAnsi" w:cstheme="minorHAnsi"/>
        </w:rPr>
        <w:t xml:space="preserve"> wziął pod uwagę wyjaśnienia strony i zauważa, iż odpowiedzialność wynikająca z popełnienia deliktu administracyjnego ma charakter obiektywny. Okoliczności towarzyszące naruszeniu prawa, takie jak trudności z oznaczeniem cenami kwestionowanych produktów, które związane są</w:t>
      </w:r>
      <w:r w:rsidR="00A1550B" w:rsidRPr="0038273E">
        <w:rPr>
          <w:rFonts w:asciiTheme="minorHAnsi" w:hAnsiTheme="minorHAnsi" w:cstheme="minorHAnsi"/>
        </w:rPr>
        <w:t xml:space="preserve"> </w:t>
      </w:r>
      <w:r w:rsidR="00AE6BAF" w:rsidRPr="0038273E">
        <w:rPr>
          <w:rFonts w:asciiTheme="minorHAnsi" w:hAnsiTheme="minorHAnsi" w:cstheme="minorHAnsi"/>
        </w:rPr>
        <w:t xml:space="preserve">z formą ich sprzedaży, aktywna obsługa klienta przez pracowników w sklepie stacjonarnym nie mają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o których między innymi mowa w uzasadnieniu skargi kasacyjnej, mają jedynie znaczenie </w:t>
      </w:r>
      <w:r w:rsidR="00531FF1" w:rsidRPr="0038273E">
        <w:rPr>
          <w:rFonts w:asciiTheme="minorHAnsi" w:hAnsiTheme="minorHAnsi" w:cstheme="minorHAnsi"/>
        </w:rPr>
        <w:br/>
      </w:r>
      <w:r w:rsidR="00AE6BAF" w:rsidRPr="0038273E">
        <w:rPr>
          <w:rFonts w:asciiTheme="minorHAnsi" w:hAnsiTheme="minorHAnsi" w:cstheme="minorHAnsi"/>
        </w:rPr>
        <w:t xml:space="preserve">przy ustalaniu wysokości kary pieniężnej. Niewątpliwie właściwy organ administracji, określając wysokość kary, winien uwzględnić zarówno stopień naruszenia obowiązków, o których mowa w art. 4 ustawy </w:t>
      </w:r>
      <w:r w:rsidR="00531FF1" w:rsidRPr="0038273E">
        <w:rPr>
          <w:rFonts w:asciiTheme="minorHAnsi" w:hAnsiTheme="minorHAnsi" w:cstheme="minorHAnsi"/>
        </w:rPr>
        <w:br/>
      </w:r>
      <w:r w:rsidR="00AE6BAF" w:rsidRPr="0038273E">
        <w:rPr>
          <w:rFonts w:asciiTheme="minorHAnsi" w:hAnsiTheme="minorHAnsi" w:cstheme="minorHAnsi"/>
        </w:rPr>
        <w:t xml:space="preserve">o informowaniu o cenach towarów i usług, jak i dotychczasową działalność przedsiębiorcy oraz wielkość jego obrotów i przychodu (art. 6 ust. 3 tej ustawy).” Przedsiębiorcy jako profesjonalni uczestnicy obrotu powinni tak zorganizować prowadzoną przez nich działalność gospodarczą, aby sprostać wymaganiom obowiązujących przepisów prawa dotyczących tej działalności. </w:t>
      </w:r>
      <w:r w:rsidR="00760E54" w:rsidRPr="0038273E">
        <w:rPr>
          <w:rFonts w:asciiTheme="minorHAnsi" w:hAnsiTheme="minorHAnsi" w:cstheme="minorHAnsi"/>
        </w:rPr>
        <w:t>Organ</w:t>
      </w:r>
      <w:r w:rsidR="00AE6BAF" w:rsidRPr="0038273E">
        <w:rPr>
          <w:rFonts w:asciiTheme="minorHAnsi" w:hAnsiTheme="minorHAnsi" w:cstheme="minorHAnsi"/>
        </w:rPr>
        <w:t xml:space="preserve"> wskazuje, że przywołana przez stronę okoliczność aktywnej obsługi klienta w sklepie stacjonarnym przez pracowników nie prowadzi do znikomości stwierdzonych naruszeń, gdyż pomimo tej obsługi bezpośrednie poznanie i porównanie cen zakwestionowanych produktów wciąż pozostawało utrudnione w znacznym stopniu, pozbawiając konsumenta ważnych informacji na podstawie których dokonuje zakupu. Okoliczność naprawienia nieprawidłowości została wzięta pod uwagę, zaś zastosowanie art. 189f kpa został</w:t>
      </w:r>
      <w:r w:rsidR="00A1550B" w:rsidRPr="0038273E">
        <w:rPr>
          <w:rFonts w:asciiTheme="minorHAnsi" w:hAnsiTheme="minorHAnsi" w:cstheme="minorHAnsi"/>
        </w:rPr>
        <w:t>o</w:t>
      </w:r>
      <w:r w:rsidR="00AE6BAF" w:rsidRPr="0038273E">
        <w:rPr>
          <w:rFonts w:asciiTheme="minorHAnsi" w:hAnsiTheme="minorHAnsi" w:cstheme="minorHAnsi"/>
        </w:rPr>
        <w:t xml:space="preserve"> rozważone.</w:t>
      </w:r>
    </w:p>
    <w:p w14:paraId="36EF1236" w14:textId="7FBD1C32" w:rsidR="00B83DC8" w:rsidRPr="0038273E" w:rsidRDefault="00B83DC8" w:rsidP="0038273E">
      <w:pPr>
        <w:spacing w:before="120" w:after="120" w:line="360" w:lineRule="auto"/>
        <w:rPr>
          <w:rFonts w:asciiTheme="minorHAnsi" w:hAnsiTheme="minorHAnsi" w:cstheme="minorHAnsi"/>
        </w:rPr>
      </w:pPr>
      <w:r w:rsidRPr="0038273E">
        <w:rPr>
          <w:rFonts w:asciiTheme="minorHAnsi" w:hAnsiTheme="minorHAnsi" w:cstheme="minorHAnsi"/>
          <w:color w:val="000000"/>
        </w:rPr>
        <w:lastRenderedPageBreak/>
        <w:t xml:space="preserve">Zgodnie z </w:t>
      </w:r>
      <w:bookmarkStart w:id="3" w:name="_Hlk157079998"/>
      <w:r w:rsidRPr="0038273E">
        <w:rPr>
          <w:rFonts w:asciiTheme="minorHAnsi" w:hAnsiTheme="minorHAnsi" w:cstheme="minorHAnsi"/>
          <w:color w:val="000000"/>
        </w:rPr>
        <w:t xml:space="preserve">art. 6 ust. 3 </w:t>
      </w:r>
      <w:bookmarkEnd w:id="3"/>
      <w:r w:rsidRPr="0038273E">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38273E">
        <w:rPr>
          <w:rFonts w:asciiTheme="minorHAnsi" w:hAnsiTheme="minorHAnsi" w:cstheme="minorHAnsi"/>
          <w:color w:val="000000"/>
        </w:rPr>
        <w:t xml:space="preserve"> </w:t>
      </w:r>
      <w:r w:rsidR="00F625FF" w:rsidRPr="0038273E">
        <w:rPr>
          <w:rFonts w:asciiTheme="minorHAnsi" w:hAnsiTheme="minorHAnsi" w:cstheme="minorHAnsi"/>
          <w:color w:val="000000"/>
        </w:rPr>
        <w:t>wcześniejsze naruszenia obowiązków, o których mowa w art. 4 ust. 1-5, przez tego przedsiębiorcę, oraz</w:t>
      </w:r>
      <w:r w:rsidRPr="0038273E">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38273E" w:rsidRDefault="00B83DC8" w:rsidP="0038273E">
      <w:pPr>
        <w:spacing w:before="120" w:line="360" w:lineRule="auto"/>
        <w:rPr>
          <w:rFonts w:asciiTheme="minorHAnsi" w:hAnsiTheme="minorHAnsi" w:cstheme="minorHAnsi"/>
          <w:color w:val="000000"/>
        </w:rPr>
      </w:pPr>
      <w:r w:rsidRPr="0038273E">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38273E">
        <w:rPr>
          <w:rFonts w:asciiTheme="minorHAnsi" w:hAnsiTheme="minorHAnsi" w:cstheme="minorHAnsi"/>
          <w:color w:val="000000"/>
        </w:rPr>
        <w:t>.</w:t>
      </w:r>
    </w:p>
    <w:p w14:paraId="1A12509F" w14:textId="77777777" w:rsidR="00B83DC8" w:rsidRPr="0038273E" w:rsidRDefault="00B83DC8" w:rsidP="0038273E">
      <w:pPr>
        <w:spacing w:before="120" w:line="360" w:lineRule="auto"/>
        <w:rPr>
          <w:rFonts w:asciiTheme="minorHAnsi" w:hAnsiTheme="minorHAnsi" w:cstheme="minorHAnsi"/>
          <w:color w:val="000000"/>
        </w:rPr>
      </w:pPr>
      <w:r w:rsidRPr="0038273E">
        <w:rPr>
          <w:rFonts w:asciiTheme="minorHAnsi" w:hAnsiTheme="minorHAnsi" w:cstheme="minorHAnsi"/>
          <w:color w:val="000000"/>
        </w:rPr>
        <w:t>Stopień naruszenia obowiązków (charakter, waga, skala, czas trwania naruszenia):</w:t>
      </w:r>
    </w:p>
    <w:p w14:paraId="66934510" w14:textId="334858D4" w:rsidR="00A1550B" w:rsidRPr="0038273E" w:rsidRDefault="00A1550B" w:rsidP="0038273E">
      <w:pPr>
        <w:spacing w:before="120" w:line="360" w:lineRule="auto"/>
        <w:rPr>
          <w:rFonts w:asciiTheme="minorHAnsi" w:hAnsiTheme="minorHAnsi" w:cstheme="minorHAnsi"/>
          <w:color w:val="000000"/>
        </w:rPr>
      </w:pPr>
      <w:r w:rsidRPr="0038273E">
        <w:rPr>
          <w:rFonts w:asciiTheme="minorHAnsi" w:hAnsiTheme="minorHAnsi" w:cstheme="minorHAnsi"/>
          <w:color w:val="000000"/>
        </w:rPr>
        <w:t xml:space="preserve">W miejscu sprzedaży detalicznej, </w:t>
      </w:r>
      <w:r w:rsidR="0034587B" w:rsidRPr="0038273E">
        <w:rPr>
          <w:rFonts w:asciiTheme="minorHAnsi" w:hAnsiTheme="minorHAnsi" w:cstheme="minorHAnsi"/>
          <w:color w:val="000000"/>
        </w:rPr>
        <w:t xml:space="preserve">dla </w:t>
      </w:r>
      <w:r w:rsidRPr="0038273E">
        <w:rPr>
          <w:rFonts w:asciiTheme="minorHAnsi" w:hAnsiTheme="minorHAnsi" w:cstheme="minorHAnsi"/>
          <w:color w:val="000000"/>
        </w:rPr>
        <w:t>8 partii towarów stwierdzono brak uwidocznienia ich cen, co narusza art. 4 ust. 1 ww. ustawy oraz § 3 ust. 1 ww. rozporządzenia. Brak uwidocznienia cen uniemożliwiał konsumentowi ich bezpośrednie poznanie i porównanie, tym samym pozbawiając go ważnych informacji na podstawie których dokonuje zakupu. Z drugiej strony powyższa okoliczność dotyczyła niewielkiej ilości sprawdzonych w toku kontroli towarów, gdyż na 150 sprawdzonych partii zakwestionowano 8 partii. Naruszenie prawa zostało stwierdzone 07.11.2024 r. W toku kontroli nieprawidłowości zostały naprawione.</w:t>
      </w:r>
    </w:p>
    <w:p w14:paraId="15287F0B" w14:textId="6B1D8564" w:rsidR="00B83DC8" w:rsidRPr="0038273E" w:rsidRDefault="00B83DC8" w:rsidP="0038273E">
      <w:pPr>
        <w:spacing w:before="120" w:line="360" w:lineRule="auto"/>
        <w:rPr>
          <w:rFonts w:asciiTheme="minorHAnsi" w:hAnsiTheme="minorHAnsi" w:cstheme="minorHAnsi"/>
          <w:color w:val="000000"/>
        </w:rPr>
      </w:pPr>
      <w:r w:rsidRPr="0038273E">
        <w:rPr>
          <w:rFonts w:asciiTheme="minorHAnsi" w:hAnsiTheme="minorHAnsi" w:cstheme="minorHAnsi"/>
          <w:color w:val="000000"/>
        </w:rPr>
        <w:t xml:space="preserve">Dotychczasowa działalność podmiotu, w tym podjęte przez niego działania w celu złagodzenia </w:t>
      </w:r>
      <w:r w:rsidRPr="0038273E">
        <w:rPr>
          <w:rFonts w:asciiTheme="minorHAnsi" w:hAnsiTheme="minorHAnsi" w:cstheme="minorHAnsi"/>
          <w:color w:val="000000"/>
        </w:rPr>
        <w:br/>
        <w:t xml:space="preserve">lub naprawienia szkody poniesionej przez konsumentów, uzyskane przez przedsiębiorcę korzyści </w:t>
      </w:r>
      <w:r w:rsidRPr="0038273E">
        <w:rPr>
          <w:rFonts w:asciiTheme="minorHAnsi" w:hAnsiTheme="minorHAnsi" w:cstheme="minorHAnsi"/>
          <w:color w:val="000000"/>
        </w:rPr>
        <w:br/>
        <w:t>majątkowe lub straty w związku z naruszeniem tych obowiązków:</w:t>
      </w:r>
    </w:p>
    <w:p w14:paraId="3F5D0455" w14:textId="25015EE4" w:rsidR="00215FAD" w:rsidRPr="0038273E" w:rsidRDefault="00A1550B" w:rsidP="0038273E">
      <w:pPr>
        <w:spacing w:line="360" w:lineRule="auto"/>
        <w:rPr>
          <w:rFonts w:asciiTheme="minorHAnsi" w:hAnsiTheme="minorHAnsi" w:cstheme="minorHAnsi"/>
        </w:rPr>
      </w:pPr>
      <w:r w:rsidRPr="0038273E">
        <w:rPr>
          <w:rFonts w:asciiTheme="minorHAnsi" w:hAnsiTheme="minorHAnsi" w:cstheme="minorHAnsi"/>
        </w:rPr>
        <w:t xml:space="preserve">W oparciu o dane z Krajowego Rejestru Sądowego ustalono, że przedsiębiorca NIKE RETAIL B.V. (SPÓŁKA Z OGRANICZONĄ ODPOWIEDZIALNOŚCIĄ) ODDZIAŁ W POLSCE z siedzibą oddziału w Warszawie, ul. Rondo Ignacego Daszyńskiego nr 2B, 00-843 Warszawa został wpisany do rejestru przedsiębiorców w dniu 05.07.2022 r. Organ nie stwierdził wcześniejszych naruszeń przepisów z zakresu obowiązku informowania </w:t>
      </w:r>
      <w:r w:rsidR="00531FF1" w:rsidRPr="0038273E">
        <w:rPr>
          <w:rFonts w:asciiTheme="minorHAnsi" w:hAnsiTheme="minorHAnsi" w:cstheme="minorHAnsi"/>
        </w:rPr>
        <w:br/>
      </w:r>
      <w:r w:rsidRPr="0038273E">
        <w:rPr>
          <w:rFonts w:asciiTheme="minorHAnsi" w:hAnsiTheme="minorHAnsi" w:cstheme="minorHAnsi"/>
        </w:rPr>
        <w:t xml:space="preserve">o cenach.  Przedsiębiorca poinformował, iż nie zidentyfikował żadnych korzyści i strat w związku </w:t>
      </w:r>
      <w:r w:rsidR="00531FF1" w:rsidRPr="0038273E">
        <w:rPr>
          <w:rFonts w:asciiTheme="minorHAnsi" w:hAnsiTheme="minorHAnsi" w:cstheme="minorHAnsi"/>
        </w:rPr>
        <w:br/>
      </w:r>
      <w:r w:rsidRPr="0038273E">
        <w:rPr>
          <w:rFonts w:asciiTheme="minorHAnsi" w:hAnsiTheme="minorHAnsi" w:cstheme="minorHAnsi"/>
        </w:rPr>
        <w:t>z przedmiotowym naruszeniem.</w:t>
      </w:r>
    </w:p>
    <w:p w14:paraId="57BA75DB" w14:textId="79A08978" w:rsidR="00B83DC8" w:rsidRPr="0038273E" w:rsidRDefault="00B83DC8" w:rsidP="0038273E">
      <w:pPr>
        <w:spacing w:before="120" w:line="360" w:lineRule="auto"/>
        <w:rPr>
          <w:rFonts w:asciiTheme="minorHAnsi" w:hAnsiTheme="minorHAnsi" w:cstheme="minorHAnsi"/>
          <w:color w:val="000000"/>
        </w:rPr>
      </w:pPr>
      <w:r w:rsidRPr="0038273E">
        <w:rPr>
          <w:rFonts w:asciiTheme="minorHAnsi" w:hAnsiTheme="minorHAnsi" w:cstheme="minorHAnsi"/>
          <w:color w:val="000000"/>
        </w:rPr>
        <w:t xml:space="preserve">Wielkość obrotów i przychodu </w:t>
      </w:r>
      <w:r w:rsidR="00D857B1" w:rsidRPr="0038273E">
        <w:rPr>
          <w:rFonts w:asciiTheme="minorHAnsi" w:hAnsiTheme="minorHAnsi" w:cstheme="minorHAnsi"/>
          <w:color w:val="000000"/>
        </w:rPr>
        <w:t>przedsiębiorcy:</w:t>
      </w:r>
    </w:p>
    <w:p w14:paraId="08975F86" w14:textId="2F17DE5E" w:rsidR="00DF0AD1" w:rsidRPr="0038273E" w:rsidRDefault="00D34E5C" w:rsidP="0038273E">
      <w:pPr>
        <w:spacing w:line="360" w:lineRule="auto"/>
        <w:rPr>
          <w:rFonts w:asciiTheme="minorHAnsi" w:hAnsiTheme="minorHAnsi" w:cstheme="minorHAnsi"/>
        </w:rPr>
      </w:pPr>
      <w:r w:rsidRPr="0038273E">
        <w:rPr>
          <w:rFonts w:asciiTheme="minorHAnsi" w:hAnsiTheme="minorHAnsi" w:cstheme="minorHAnsi"/>
        </w:rPr>
        <w:t>Strona przekazała informację o wysokości przychodu</w:t>
      </w:r>
      <w:r w:rsidR="00A1550B" w:rsidRPr="0038273E">
        <w:rPr>
          <w:rFonts w:asciiTheme="minorHAnsi" w:hAnsiTheme="minorHAnsi" w:cstheme="minorHAnsi"/>
        </w:rPr>
        <w:t xml:space="preserve"> i obrotów</w:t>
      </w:r>
      <w:r w:rsidRPr="0038273E">
        <w:rPr>
          <w:rFonts w:asciiTheme="minorHAnsi" w:hAnsiTheme="minorHAnsi" w:cstheme="minorHAnsi"/>
        </w:rPr>
        <w:t xml:space="preserve"> za rok 2024</w:t>
      </w:r>
      <w:r w:rsidR="00226D3B" w:rsidRPr="0038273E">
        <w:rPr>
          <w:rFonts w:asciiTheme="minorHAnsi" w:hAnsiTheme="minorHAnsi" w:cstheme="minorHAnsi"/>
        </w:rPr>
        <w:t>.</w:t>
      </w:r>
    </w:p>
    <w:p w14:paraId="18886376" w14:textId="3C374AAB" w:rsidR="00B83DC8" w:rsidRPr="0038273E" w:rsidRDefault="00B83DC8" w:rsidP="0038273E">
      <w:pPr>
        <w:spacing w:before="120" w:line="360" w:lineRule="auto"/>
        <w:rPr>
          <w:rFonts w:asciiTheme="minorHAnsi" w:hAnsiTheme="minorHAnsi" w:cstheme="minorHAnsi"/>
          <w:color w:val="000000"/>
        </w:rPr>
      </w:pPr>
      <w:r w:rsidRPr="0038273E">
        <w:rPr>
          <w:rFonts w:asciiTheme="minorHAnsi" w:hAnsiTheme="minorHAnsi" w:cstheme="minorHAnsi"/>
          <w:color w:val="000000"/>
        </w:rPr>
        <w:t>Sankcje nałożone na przedsiębiorcę za to samo naruszenie w innych państwach członkowskich UE:</w:t>
      </w:r>
    </w:p>
    <w:p w14:paraId="4486A34B" w14:textId="77777777" w:rsidR="002D1221" w:rsidRPr="0038273E" w:rsidRDefault="002D1221" w:rsidP="0038273E">
      <w:pPr>
        <w:tabs>
          <w:tab w:val="left" w:pos="0"/>
          <w:tab w:val="left" w:pos="462"/>
        </w:tabs>
        <w:spacing w:before="120" w:line="360" w:lineRule="auto"/>
        <w:rPr>
          <w:rFonts w:asciiTheme="minorHAnsi" w:hAnsiTheme="minorHAnsi" w:cstheme="minorHAnsi"/>
          <w:color w:val="000000"/>
        </w:rPr>
      </w:pPr>
      <w:r w:rsidRPr="0038273E">
        <w:rPr>
          <w:rFonts w:asciiTheme="minorHAnsi" w:hAnsiTheme="minorHAnsi" w:cstheme="minorHAnsi"/>
          <w:color w:val="000000"/>
        </w:rPr>
        <w:lastRenderedPageBreak/>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38273E" w:rsidRDefault="00D81ACE" w:rsidP="0038273E">
      <w:pPr>
        <w:tabs>
          <w:tab w:val="left" w:pos="0"/>
          <w:tab w:val="left" w:pos="462"/>
        </w:tabs>
        <w:spacing w:before="120" w:after="120" w:line="360" w:lineRule="auto"/>
        <w:rPr>
          <w:rFonts w:asciiTheme="minorHAnsi" w:hAnsiTheme="minorHAnsi" w:cstheme="minorHAnsi"/>
        </w:rPr>
      </w:pPr>
      <w:r w:rsidRPr="0038273E">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38273E">
        <w:rPr>
          <w:rFonts w:asciiTheme="minorHAnsi" w:hAnsiTheme="minorHAnsi" w:cstheme="minorHAnsi"/>
        </w:rPr>
        <w:t>Knysiak-Sudyka</w:t>
      </w:r>
      <w:proofErr w:type="spellEnd"/>
      <w:r w:rsidRPr="0038273E">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8741C7" w:rsidRPr="0038273E">
        <w:rPr>
          <w:rFonts w:asciiTheme="minorHAnsi" w:hAnsiTheme="minorHAnsi" w:cstheme="minorHAnsi"/>
        </w:rPr>
        <w:t>k</w:t>
      </w:r>
      <w:r w:rsidRPr="0038273E">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38273E">
        <w:rPr>
          <w:rFonts w:asciiTheme="minorHAnsi" w:hAnsiTheme="minorHAnsi" w:cstheme="minorHAnsi"/>
        </w:rPr>
        <w:br/>
      </w:r>
      <w:r w:rsidRPr="0038273E">
        <w:rPr>
          <w:rFonts w:asciiTheme="minorHAnsi" w:hAnsiTheme="minorHAnsi" w:cstheme="minorHAnsi"/>
        </w:rPr>
        <w:t xml:space="preserve">o stwierdzonym naruszeniu prawa, określając termin i sposób powiadomienia. Zgodnie z art. 189f § 3 </w:t>
      </w:r>
      <w:r w:rsidR="008741C7" w:rsidRPr="0038273E">
        <w:rPr>
          <w:rFonts w:asciiTheme="minorHAnsi" w:hAnsiTheme="minorHAnsi" w:cstheme="minorHAnsi"/>
        </w:rPr>
        <w:t>k</w:t>
      </w:r>
      <w:r w:rsidRPr="0038273E">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38273E">
        <w:rPr>
          <w:rFonts w:asciiTheme="minorHAnsi" w:hAnsiTheme="minorHAnsi" w:cstheme="minorHAnsi"/>
        </w:rPr>
        <w:t>Wa</w:t>
      </w:r>
      <w:proofErr w:type="spellEnd"/>
      <w:r w:rsidRPr="0038273E">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38273E" w:rsidRDefault="002B68EA" w:rsidP="0038273E">
      <w:pPr>
        <w:tabs>
          <w:tab w:val="left" w:pos="0"/>
          <w:tab w:val="left" w:pos="462"/>
        </w:tabs>
        <w:spacing w:before="120" w:after="120" w:line="360" w:lineRule="auto"/>
        <w:rPr>
          <w:rFonts w:asciiTheme="minorHAnsi" w:hAnsiTheme="minorHAnsi" w:cstheme="minorHAnsi"/>
        </w:rPr>
      </w:pPr>
      <w:r w:rsidRPr="0038273E">
        <w:rPr>
          <w:rFonts w:asciiTheme="minorHAnsi" w:eastAsia="Calibri" w:hAnsiTheme="minorHAnsi" w:cstheme="minorHAnsi"/>
          <w:lang w:eastAsia="en-US"/>
        </w:rPr>
        <w:lastRenderedPageBreak/>
        <w:t>Biorąc pod uwagę przesłanki określone w art. 6 ww. ustawy o informowaniu o cenach towarów i usług</w:t>
      </w:r>
      <w:r w:rsidRPr="0038273E">
        <w:rPr>
          <w:rFonts w:asciiTheme="minorHAnsi" w:eastAsia="Calibri" w:hAnsiTheme="minorHAnsi" w:cstheme="minorHAnsi"/>
          <w:lang w:eastAsia="en-US"/>
        </w:rPr>
        <w:br/>
        <w:t xml:space="preserve">oraz wymogi określone w art. 8 dyrektywy 98/6 WE Parlamentu Europejskiego i Rady z dnia 16 lutego 1998r. </w:t>
      </w:r>
      <w:r w:rsidRPr="0038273E">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38273E">
        <w:rPr>
          <w:rFonts w:asciiTheme="minorHAnsi" w:eastAsia="Calibri" w:hAnsiTheme="minorHAnsi" w:cstheme="minorHAnsi"/>
          <w:lang w:eastAsia="en-US"/>
        </w:rPr>
        <w:br/>
        <w:t>być skuteczne, proporcjonalne i odstraszające.</w:t>
      </w:r>
    </w:p>
    <w:p w14:paraId="677AF1F3" w14:textId="77777777" w:rsidR="00B83DC8" w:rsidRPr="0038273E" w:rsidRDefault="00B83DC8" w:rsidP="0038273E">
      <w:pPr>
        <w:spacing w:before="120" w:after="120" w:line="360" w:lineRule="auto"/>
        <w:rPr>
          <w:rFonts w:asciiTheme="minorHAnsi" w:hAnsiTheme="minorHAnsi" w:cstheme="minorHAnsi"/>
          <w:color w:val="000000"/>
        </w:rPr>
      </w:pPr>
      <w:r w:rsidRPr="0038273E">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799DC8BF" w:rsidR="00C4686A" w:rsidRPr="0038273E" w:rsidRDefault="00B83DC8" w:rsidP="0038273E">
      <w:pPr>
        <w:spacing w:line="360" w:lineRule="auto"/>
        <w:rPr>
          <w:rFonts w:asciiTheme="minorHAnsi" w:hAnsiTheme="minorHAnsi" w:cstheme="minorHAnsi"/>
        </w:rPr>
      </w:pPr>
      <w:r w:rsidRPr="0038273E">
        <w:rPr>
          <w:rFonts w:asciiTheme="minorHAnsi" w:hAnsiTheme="minorHAnsi" w:cstheme="minorHAnsi"/>
          <w:color w:val="000000"/>
        </w:rPr>
        <w:t xml:space="preserve">Mając na uwadze ww. przesłanki, Mazowiecki Wojewódzki Inspektor Inspekcji Handlowej uznał, </w:t>
      </w:r>
      <w:r w:rsidRPr="0038273E">
        <w:rPr>
          <w:rFonts w:asciiTheme="minorHAnsi" w:hAnsiTheme="minorHAnsi" w:cstheme="minorHAnsi"/>
          <w:color w:val="000000"/>
        </w:rPr>
        <w:br/>
        <w:t>iż przedsiębiorcy</w:t>
      </w:r>
      <w:r w:rsidR="002232BE" w:rsidRPr="0038273E">
        <w:rPr>
          <w:rFonts w:asciiTheme="minorHAnsi" w:hAnsiTheme="minorHAnsi" w:cstheme="minorHAnsi"/>
        </w:rPr>
        <w:t xml:space="preserve">: </w:t>
      </w:r>
      <w:r w:rsidR="00A1550B" w:rsidRPr="0038273E">
        <w:rPr>
          <w:rFonts w:asciiTheme="minorHAnsi" w:hAnsiTheme="minorHAnsi" w:cstheme="minorHAnsi"/>
        </w:rPr>
        <w:t>NIKE RETAIL B.V. (SPÓŁKA Z OGRANICZONĄ ODPOWIEDZIALNOŚCIĄ) ODDZIAŁ W POLSCE z siedzibą oddziału w Warszawie, ul. Rondo Ignacego Daszyńskiego nr 2B, 00-843 Warszawa</w:t>
      </w:r>
      <w:r w:rsidR="009D3AEC" w:rsidRPr="0038273E">
        <w:rPr>
          <w:rFonts w:asciiTheme="minorHAnsi" w:hAnsiTheme="minorHAnsi" w:cstheme="minorHAnsi"/>
        </w:rPr>
        <w:t xml:space="preserve"> </w:t>
      </w:r>
      <w:r w:rsidRPr="0038273E">
        <w:rPr>
          <w:rFonts w:asciiTheme="minorHAnsi" w:hAnsiTheme="minorHAnsi" w:cstheme="minorHAnsi"/>
          <w:color w:val="000000"/>
        </w:rPr>
        <w:t>za naruszenie obowiązku</w:t>
      </w:r>
      <w:r w:rsidR="00DF0AD1" w:rsidRPr="0038273E">
        <w:rPr>
          <w:rFonts w:asciiTheme="minorHAnsi" w:hAnsiTheme="minorHAnsi" w:cstheme="minorHAnsi"/>
          <w:color w:val="000000"/>
        </w:rPr>
        <w:t xml:space="preserve"> </w:t>
      </w:r>
      <w:r w:rsidRPr="0038273E">
        <w:rPr>
          <w:rFonts w:asciiTheme="minorHAnsi" w:hAnsiTheme="minorHAnsi" w:cstheme="minorHAnsi"/>
          <w:color w:val="000000"/>
        </w:rPr>
        <w:t xml:space="preserve">wynikającego z art. 4 ust. 1 ustawy o informowaniu o cenach towarów i usług, należy wymierzyć karę pieniężną przewidzianą w art. 6 ust. 1 ww. ustawy w </w:t>
      </w:r>
      <w:r w:rsidRPr="0038273E">
        <w:rPr>
          <w:rFonts w:asciiTheme="minorHAnsi" w:hAnsiTheme="minorHAnsi" w:cstheme="minorHAnsi"/>
        </w:rPr>
        <w:t>wysokości</w:t>
      </w:r>
      <w:r w:rsidR="002232BE" w:rsidRPr="0038273E">
        <w:rPr>
          <w:rFonts w:asciiTheme="minorHAnsi" w:hAnsiTheme="minorHAnsi" w:cstheme="minorHAnsi"/>
        </w:rPr>
        <w:t xml:space="preserve"> </w:t>
      </w:r>
      <w:r w:rsidR="00A1550B" w:rsidRPr="0038273E">
        <w:rPr>
          <w:rFonts w:asciiTheme="minorHAnsi" w:hAnsiTheme="minorHAnsi" w:cstheme="minorHAnsi"/>
        </w:rPr>
        <w:t>1</w:t>
      </w:r>
      <w:r w:rsidR="009D3AEC" w:rsidRPr="0038273E">
        <w:rPr>
          <w:rFonts w:asciiTheme="minorHAnsi" w:hAnsiTheme="minorHAnsi" w:cstheme="minorHAnsi"/>
        </w:rPr>
        <w:t>0</w:t>
      </w:r>
      <w:r w:rsidR="00C947F3" w:rsidRPr="0038273E">
        <w:rPr>
          <w:rFonts w:asciiTheme="minorHAnsi" w:hAnsiTheme="minorHAnsi" w:cstheme="minorHAnsi"/>
        </w:rPr>
        <w:t xml:space="preserve">00 </w:t>
      </w:r>
      <w:r w:rsidRPr="0038273E">
        <w:rPr>
          <w:rFonts w:asciiTheme="minorHAnsi" w:hAnsiTheme="minorHAnsi" w:cstheme="minorHAnsi"/>
        </w:rPr>
        <w:t>zł.</w:t>
      </w:r>
    </w:p>
    <w:p w14:paraId="22041539" w14:textId="5EE7B9DA" w:rsidR="00B83DC8" w:rsidRPr="0038273E" w:rsidRDefault="00B83DC8" w:rsidP="0038273E">
      <w:pPr>
        <w:spacing w:before="120" w:after="120" w:line="360" w:lineRule="auto"/>
        <w:rPr>
          <w:rFonts w:asciiTheme="minorHAnsi" w:hAnsiTheme="minorHAnsi" w:cstheme="minorHAnsi"/>
        </w:rPr>
      </w:pPr>
      <w:r w:rsidRPr="0038273E">
        <w:rPr>
          <w:rFonts w:asciiTheme="minorHAnsi" w:hAnsiTheme="minorHAnsi" w:cstheme="minorHAnsi"/>
        </w:rPr>
        <w:t>W związku z powyższym Mazowiecki Wojewódzki Inspektor Inspekcji Handlowej orzekł jak w sentencji.</w:t>
      </w:r>
    </w:p>
    <w:p w14:paraId="11AEF178" w14:textId="56105880" w:rsidR="00B83DC8" w:rsidRPr="0038273E" w:rsidRDefault="00B83DC8" w:rsidP="0038273E">
      <w:pPr>
        <w:spacing w:before="120" w:after="120" w:line="360" w:lineRule="auto"/>
        <w:rPr>
          <w:rFonts w:asciiTheme="minorHAnsi" w:hAnsiTheme="minorHAnsi" w:cstheme="minorHAnsi"/>
          <w:color w:val="000000"/>
        </w:rPr>
      </w:pPr>
      <w:r w:rsidRPr="0038273E">
        <w:rPr>
          <w:rFonts w:asciiTheme="minorHAnsi" w:hAnsiTheme="minorHAnsi" w:cstheme="minorHAnsi"/>
        </w:rPr>
        <w:t>Na podstawie art. 7 ust. 1 i ust. 3 ustawy z dnia 9 maja 2014 r. o informowaniu o cenach towarów i usług, karę pieniężną w kwocie</w:t>
      </w:r>
      <w:r w:rsidR="002232BE" w:rsidRPr="0038273E">
        <w:rPr>
          <w:rFonts w:asciiTheme="minorHAnsi" w:hAnsiTheme="minorHAnsi" w:cstheme="minorHAnsi"/>
        </w:rPr>
        <w:t xml:space="preserve"> </w:t>
      </w:r>
      <w:r w:rsidR="00A1550B" w:rsidRPr="0038273E">
        <w:rPr>
          <w:rFonts w:asciiTheme="minorHAnsi" w:hAnsiTheme="minorHAnsi" w:cstheme="minorHAnsi"/>
        </w:rPr>
        <w:t>1</w:t>
      </w:r>
      <w:r w:rsidR="009D3AEC" w:rsidRPr="0038273E">
        <w:rPr>
          <w:rFonts w:asciiTheme="minorHAnsi" w:hAnsiTheme="minorHAnsi" w:cstheme="minorHAnsi"/>
        </w:rPr>
        <w:t>0</w:t>
      </w:r>
      <w:r w:rsidR="00C947F3" w:rsidRPr="0038273E">
        <w:rPr>
          <w:rFonts w:asciiTheme="minorHAnsi" w:hAnsiTheme="minorHAnsi" w:cstheme="minorHAnsi"/>
        </w:rPr>
        <w:t xml:space="preserve">00 </w:t>
      </w:r>
      <w:r w:rsidRPr="0038273E">
        <w:rPr>
          <w:rFonts w:asciiTheme="minorHAnsi" w:hAnsiTheme="minorHAnsi" w:cstheme="minorHAnsi"/>
        </w:rPr>
        <w:t xml:space="preserve">zł stanowiącą </w:t>
      </w:r>
      <w:r w:rsidRPr="0038273E">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1D247B19" w:rsidR="00B83DC8" w:rsidRPr="0038273E" w:rsidRDefault="00B83DC8" w:rsidP="0038273E">
      <w:pPr>
        <w:spacing w:before="120" w:after="120" w:line="360" w:lineRule="auto"/>
        <w:rPr>
          <w:rFonts w:asciiTheme="minorHAnsi" w:hAnsiTheme="minorHAnsi" w:cstheme="minorHAnsi"/>
          <w:color w:val="000000"/>
        </w:rPr>
      </w:pPr>
      <w:r w:rsidRPr="0038273E">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38273E">
        <w:rPr>
          <w:rFonts w:asciiTheme="minorHAnsi" w:hAnsiTheme="minorHAnsi" w:cstheme="minorHAnsi"/>
        </w:rPr>
        <w:t xml:space="preserve">(Dz.U. z 2025 r. </w:t>
      </w:r>
      <w:r w:rsidR="006B751B" w:rsidRPr="0038273E">
        <w:rPr>
          <w:rFonts w:asciiTheme="minorHAnsi" w:hAnsiTheme="minorHAnsi" w:cstheme="minorHAnsi"/>
        </w:rPr>
        <w:br/>
        <w:t>poz. 111</w:t>
      </w:r>
      <w:r w:rsidR="00A1550B" w:rsidRPr="0038273E">
        <w:rPr>
          <w:rFonts w:asciiTheme="minorHAnsi" w:hAnsiTheme="minorHAnsi" w:cstheme="minorHAnsi"/>
        </w:rPr>
        <w:t>, ze zm.</w:t>
      </w:r>
      <w:r w:rsidR="006B751B" w:rsidRPr="0038273E">
        <w:rPr>
          <w:rFonts w:asciiTheme="minorHAnsi" w:hAnsiTheme="minorHAnsi" w:cstheme="minorHAnsi"/>
        </w:rPr>
        <w:t xml:space="preserve">). </w:t>
      </w:r>
      <w:r w:rsidRPr="0038273E">
        <w:rPr>
          <w:rFonts w:asciiTheme="minorHAnsi" w:hAnsiTheme="minorHAnsi" w:cstheme="minorHAnsi"/>
          <w:color w:val="000000"/>
        </w:rPr>
        <w:t>Kara</w:t>
      </w:r>
      <w:r w:rsidR="006B751B" w:rsidRPr="0038273E">
        <w:rPr>
          <w:rFonts w:asciiTheme="minorHAnsi" w:hAnsiTheme="minorHAnsi" w:cstheme="minorHAnsi"/>
          <w:color w:val="000000"/>
        </w:rPr>
        <w:t xml:space="preserve"> </w:t>
      </w:r>
      <w:r w:rsidRPr="0038273E">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38273E" w:rsidRDefault="00B83DC8" w:rsidP="0038273E">
      <w:pPr>
        <w:spacing w:line="360" w:lineRule="auto"/>
        <w:rPr>
          <w:rFonts w:asciiTheme="minorHAnsi" w:hAnsiTheme="minorHAnsi" w:cstheme="minorHAnsi"/>
        </w:rPr>
      </w:pPr>
      <w:r w:rsidRPr="0038273E">
        <w:rPr>
          <w:rFonts w:asciiTheme="minorHAnsi" w:hAnsiTheme="minorHAnsi" w:cstheme="minorHAnsi"/>
        </w:rPr>
        <w:t>Pouczenie:</w:t>
      </w:r>
    </w:p>
    <w:p w14:paraId="38D74694" w14:textId="052940E5" w:rsidR="00B83DC8" w:rsidRPr="0038273E" w:rsidRDefault="00B83DC8" w:rsidP="0038273E">
      <w:pPr>
        <w:spacing w:after="120" w:line="360" w:lineRule="auto"/>
        <w:rPr>
          <w:rFonts w:asciiTheme="minorHAnsi" w:hAnsiTheme="minorHAnsi" w:cstheme="minorHAnsi"/>
        </w:rPr>
      </w:pPr>
      <w:r w:rsidRPr="0038273E">
        <w:rPr>
          <w:rFonts w:asciiTheme="minorHAnsi" w:hAnsiTheme="minorHAnsi" w:cstheme="minorHAnsi"/>
        </w:rPr>
        <w:t>Zgodnie z art. 5 ust. 2 ustawy z dnia 15 grudnia 2000 r. o Inspekcji Handlowej</w:t>
      </w:r>
      <w:r w:rsidR="00744D14" w:rsidRPr="0038273E">
        <w:rPr>
          <w:rFonts w:asciiTheme="minorHAnsi" w:hAnsiTheme="minorHAnsi" w:cstheme="minorHAnsi"/>
        </w:rPr>
        <w:t xml:space="preserve"> (Dz.U. z 202</w:t>
      </w:r>
      <w:r w:rsidR="00B32D27" w:rsidRPr="0038273E">
        <w:rPr>
          <w:rFonts w:asciiTheme="minorHAnsi" w:hAnsiTheme="minorHAnsi" w:cstheme="minorHAnsi"/>
        </w:rPr>
        <w:t>5</w:t>
      </w:r>
      <w:r w:rsidR="00744D14" w:rsidRPr="0038273E">
        <w:rPr>
          <w:rFonts w:asciiTheme="minorHAnsi" w:hAnsiTheme="minorHAnsi" w:cstheme="minorHAnsi"/>
        </w:rPr>
        <w:t xml:space="preserve"> r. poz. </w:t>
      </w:r>
      <w:r w:rsidR="00B32D27" w:rsidRPr="0038273E">
        <w:rPr>
          <w:rFonts w:asciiTheme="minorHAnsi" w:hAnsiTheme="minorHAnsi" w:cstheme="minorHAnsi"/>
        </w:rPr>
        <w:t>229</w:t>
      </w:r>
      <w:r w:rsidR="00744D14" w:rsidRPr="0038273E">
        <w:rPr>
          <w:rFonts w:asciiTheme="minorHAnsi" w:hAnsiTheme="minorHAnsi" w:cstheme="minorHAnsi"/>
        </w:rPr>
        <w:t>)</w:t>
      </w:r>
      <w:r w:rsidR="00B32D27" w:rsidRPr="0038273E">
        <w:rPr>
          <w:rFonts w:asciiTheme="minorHAnsi" w:hAnsiTheme="minorHAnsi" w:cstheme="minorHAnsi"/>
        </w:rPr>
        <w:br/>
      </w:r>
      <w:r w:rsidRPr="0038273E">
        <w:rPr>
          <w:rFonts w:asciiTheme="minorHAnsi" w:hAnsiTheme="minorHAnsi" w:cstheme="minorHAnsi"/>
        </w:rPr>
        <w:t xml:space="preserve">art. 127 § 1 i § 2 kpa oraz art. 129 § 1 i § 2 kpa, od niniejszej decyzji stronom postępowania służy </w:t>
      </w:r>
      <w:r w:rsidRPr="0038273E">
        <w:rPr>
          <w:rFonts w:asciiTheme="minorHAnsi" w:hAnsiTheme="minorHAnsi" w:cstheme="minorHAnsi"/>
        </w:rPr>
        <w:lastRenderedPageBreak/>
        <w:t>prawo odwołania się do Prezesa Urzędu Ochrony Konkurencji i Konsumentów.</w:t>
      </w:r>
      <w:r w:rsidR="00737982" w:rsidRPr="0038273E">
        <w:rPr>
          <w:rFonts w:asciiTheme="minorHAnsi" w:hAnsiTheme="minorHAnsi" w:cstheme="minorHAnsi"/>
        </w:rPr>
        <w:t xml:space="preserve"> </w:t>
      </w:r>
      <w:r w:rsidRPr="0038273E">
        <w:rPr>
          <w:rFonts w:asciiTheme="minorHAnsi" w:hAnsiTheme="minorHAnsi" w:cstheme="minorHAnsi"/>
        </w:rPr>
        <w:t>Odwołanie wnosi się w terminie</w:t>
      </w:r>
      <w:r w:rsidR="003B2ADA" w:rsidRPr="0038273E">
        <w:rPr>
          <w:rFonts w:asciiTheme="minorHAnsi" w:hAnsiTheme="minorHAnsi" w:cstheme="minorHAnsi"/>
        </w:rPr>
        <w:br/>
      </w:r>
      <w:r w:rsidRPr="0038273E">
        <w:rPr>
          <w:rFonts w:asciiTheme="minorHAnsi" w:hAnsiTheme="minorHAnsi" w:cstheme="minorHAnsi"/>
        </w:rPr>
        <w:t>14 dni od dnia doręczenia decyzji, za pośrednictwem Mazowieckiego Wojewódzkiego Inspektora Inspekcji Handlowej, ul. Sienkiewicza 3, 00-015 Warszawa.</w:t>
      </w:r>
      <w:r w:rsidR="00D34E5C" w:rsidRPr="0038273E">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D34E5C" w:rsidRPr="0038273E">
        <w:rPr>
          <w:rFonts w:asciiTheme="minorHAnsi" w:hAnsiTheme="minorHAnsi" w:cstheme="minorHAnsi"/>
        </w:rPr>
        <w:t>ePUAP</w:t>
      </w:r>
      <w:proofErr w:type="spellEnd"/>
      <w:r w:rsidR="00D34E5C" w:rsidRPr="0038273E">
        <w:rPr>
          <w:rFonts w:asciiTheme="minorHAnsi" w:hAnsiTheme="minorHAnsi" w:cstheme="minorHAnsi"/>
        </w:rPr>
        <w:t xml:space="preserve">) Wojewódzkiego Inspektoratu Inspekcji Handlowej. Odwołanie wniesione na adres poczty elektronicznej organu (email) pozostawia się bez rozpoznania. </w:t>
      </w:r>
    </w:p>
    <w:p w14:paraId="181F89C2" w14:textId="77777777" w:rsidR="00C4686A" w:rsidRPr="0038273E" w:rsidRDefault="00C4686A" w:rsidP="0038273E">
      <w:pPr>
        <w:spacing w:before="720" w:line="360" w:lineRule="auto"/>
        <w:rPr>
          <w:rFonts w:asciiTheme="minorHAnsi" w:hAnsiTheme="minorHAnsi" w:cstheme="minorHAnsi"/>
        </w:rPr>
      </w:pPr>
      <w:r w:rsidRPr="0038273E">
        <w:rPr>
          <w:rFonts w:asciiTheme="minorHAnsi" w:hAnsiTheme="minorHAnsi" w:cstheme="minorHAnsi"/>
        </w:rPr>
        <w:t>Z up. Mazowieckiego Wojewódzkiego Inspektora Inspekcji Handlowej</w:t>
      </w:r>
    </w:p>
    <w:p w14:paraId="0CF48A48" w14:textId="77777777" w:rsidR="00C4686A" w:rsidRPr="0038273E" w:rsidRDefault="00C4686A" w:rsidP="0038273E">
      <w:pPr>
        <w:spacing w:line="360" w:lineRule="auto"/>
        <w:rPr>
          <w:rFonts w:asciiTheme="minorHAnsi" w:hAnsiTheme="minorHAnsi" w:cstheme="minorHAnsi"/>
        </w:rPr>
      </w:pPr>
      <w:r w:rsidRPr="0038273E">
        <w:rPr>
          <w:rFonts w:asciiTheme="minorHAnsi" w:hAnsiTheme="minorHAnsi" w:cstheme="minorHAnsi"/>
        </w:rPr>
        <w:t>Agnieszka Cieślik</w:t>
      </w:r>
    </w:p>
    <w:p w14:paraId="1C69A57B" w14:textId="77777777" w:rsidR="00C4686A" w:rsidRPr="0038273E" w:rsidRDefault="00C4686A" w:rsidP="0038273E">
      <w:pPr>
        <w:spacing w:line="360" w:lineRule="auto"/>
        <w:rPr>
          <w:rFonts w:asciiTheme="minorHAnsi" w:hAnsiTheme="minorHAnsi" w:cstheme="minorHAnsi"/>
        </w:rPr>
      </w:pPr>
      <w:r w:rsidRPr="0038273E">
        <w:rPr>
          <w:rFonts w:asciiTheme="minorHAnsi" w:hAnsiTheme="minorHAnsi" w:cstheme="minorHAnsi"/>
        </w:rPr>
        <w:t xml:space="preserve"> Z-ca Mazowieckiego Wojewódzkiego Inspektora Inspekcji Handlowej </w:t>
      </w:r>
    </w:p>
    <w:p w14:paraId="1BFE1170" w14:textId="77777777" w:rsidR="00C4686A" w:rsidRPr="0038273E" w:rsidRDefault="00C4686A" w:rsidP="0038273E">
      <w:pPr>
        <w:spacing w:after="720" w:line="360" w:lineRule="auto"/>
        <w:ind w:left="2126" w:firstLine="709"/>
        <w:rPr>
          <w:rFonts w:asciiTheme="minorHAnsi" w:hAnsiTheme="minorHAnsi" w:cstheme="minorHAnsi"/>
        </w:rPr>
      </w:pPr>
      <w:r w:rsidRPr="0038273E">
        <w:rPr>
          <w:rFonts w:asciiTheme="minorHAnsi" w:hAnsiTheme="minorHAnsi" w:cstheme="minorHAnsi"/>
        </w:rPr>
        <w:t>/podpisano elektronicznie/</w:t>
      </w:r>
    </w:p>
    <w:p w14:paraId="7CEFC08A" w14:textId="77777777" w:rsidR="00C4686A" w:rsidRPr="0038273E" w:rsidRDefault="00C4686A" w:rsidP="0038273E">
      <w:pPr>
        <w:spacing w:after="120"/>
        <w:rPr>
          <w:rFonts w:asciiTheme="minorHAnsi" w:hAnsiTheme="minorHAnsi" w:cstheme="minorHAnsi"/>
        </w:rPr>
      </w:pPr>
      <w:r w:rsidRPr="0038273E">
        <w:rPr>
          <w:rFonts w:asciiTheme="minorHAnsi" w:hAnsiTheme="minorHAnsi" w:cstheme="minorHAnsi"/>
        </w:rPr>
        <w:t>Otrzymują:</w:t>
      </w:r>
    </w:p>
    <w:p w14:paraId="01507608" w14:textId="77777777" w:rsidR="00A1550B" w:rsidRPr="0038273E" w:rsidRDefault="00A1550B" w:rsidP="0038273E">
      <w:pPr>
        <w:pStyle w:val="Akapitzlist"/>
        <w:numPr>
          <w:ilvl w:val="0"/>
          <w:numId w:val="15"/>
        </w:numPr>
        <w:spacing w:before="120" w:after="120"/>
        <w:rPr>
          <w:rFonts w:asciiTheme="minorHAnsi" w:hAnsiTheme="minorHAnsi" w:cstheme="minorHAnsi"/>
        </w:rPr>
      </w:pPr>
      <w:r w:rsidRPr="0038273E">
        <w:rPr>
          <w:rFonts w:asciiTheme="minorHAnsi" w:hAnsiTheme="minorHAnsi" w:cstheme="minorHAnsi"/>
        </w:rPr>
        <w:t xml:space="preserve">NIKE RETAIL B.V. (SPÓŁKA Z OGRANICZONĄ ODPOWIEDZIALNOŚCIĄ) ODDZIAŁ W POLSCE, </w:t>
      </w:r>
    </w:p>
    <w:p w14:paraId="14BA5995" w14:textId="06CCC549" w:rsidR="00C4686A" w:rsidRPr="0038273E" w:rsidRDefault="00A1550B" w:rsidP="0038273E">
      <w:pPr>
        <w:pStyle w:val="Akapitzlist"/>
        <w:spacing w:before="120" w:after="120"/>
        <w:rPr>
          <w:rFonts w:asciiTheme="minorHAnsi" w:hAnsiTheme="minorHAnsi" w:cstheme="minorHAnsi"/>
        </w:rPr>
      </w:pPr>
      <w:r w:rsidRPr="0038273E">
        <w:rPr>
          <w:rFonts w:asciiTheme="minorHAnsi" w:hAnsiTheme="minorHAnsi" w:cstheme="minorHAnsi"/>
        </w:rPr>
        <w:t>ul. Rondo Ignacego Daszyńskiego nr 2B, 00-843 Warszawa</w:t>
      </w:r>
      <w:r w:rsidR="00E742D8" w:rsidRPr="0038273E">
        <w:rPr>
          <w:rFonts w:asciiTheme="minorHAnsi" w:hAnsiTheme="minorHAnsi" w:cstheme="minorHAnsi"/>
        </w:rPr>
        <w:t>;</w:t>
      </w:r>
    </w:p>
    <w:p w14:paraId="61F49B21" w14:textId="30C36336" w:rsidR="00763629" w:rsidRPr="0038273E" w:rsidRDefault="00C4686A" w:rsidP="0038273E">
      <w:pPr>
        <w:pStyle w:val="Akapitzlist"/>
        <w:numPr>
          <w:ilvl w:val="0"/>
          <w:numId w:val="15"/>
        </w:numPr>
        <w:spacing w:before="120"/>
        <w:ind w:left="714" w:hanging="357"/>
        <w:rPr>
          <w:rFonts w:asciiTheme="minorHAnsi" w:hAnsiTheme="minorHAnsi" w:cstheme="minorHAnsi"/>
        </w:rPr>
      </w:pPr>
      <w:r w:rsidRPr="0038273E">
        <w:rPr>
          <w:rFonts w:asciiTheme="minorHAnsi" w:hAnsiTheme="minorHAnsi" w:cstheme="minorHAnsi"/>
        </w:rPr>
        <w:t>aa.</w:t>
      </w:r>
    </w:p>
    <w:sectPr w:rsidR="00763629" w:rsidRPr="0038273E" w:rsidSect="006122D8">
      <w:type w:val="continuous"/>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6C3DC" w14:textId="77777777" w:rsidR="00086361" w:rsidRDefault="00086361">
      <w:r>
        <w:separator/>
      </w:r>
    </w:p>
  </w:endnote>
  <w:endnote w:type="continuationSeparator" w:id="0">
    <w:p w14:paraId="0CA6159E" w14:textId="77777777" w:rsidR="00086361" w:rsidRDefault="0008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911556049" name="Obraz 1911556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6F0E0" w14:textId="77777777" w:rsidR="00086361" w:rsidRDefault="00086361">
      <w:r>
        <w:separator/>
      </w:r>
    </w:p>
  </w:footnote>
  <w:footnote w:type="continuationSeparator" w:id="0">
    <w:p w14:paraId="2CC5B09D" w14:textId="77777777" w:rsidR="00086361" w:rsidRDefault="00086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6520F8"/>
    <w:multiLevelType w:val="hybridMultilevel"/>
    <w:tmpl w:val="0930B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F70B47"/>
    <w:multiLevelType w:val="hybridMultilevel"/>
    <w:tmpl w:val="D9E47DB2"/>
    <w:lvl w:ilvl="0" w:tplc="70167A1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1C32A4"/>
    <w:multiLevelType w:val="hybridMultilevel"/>
    <w:tmpl w:val="E79276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192AFE"/>
    <w:multiLevelType w:val="hybridMultilevel"/>
    <w:tmpl w:val="F558E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2" w15:restartNumberingAfterBreak="0">
    <w:nsid w:val="76363FD2"/>
    <w:multiLevelType w:val="hybridMultilevel"/>
    <w:tmpl w:val="E79276BE"/>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549"/>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21"/>
  </w:num>
  <w:num w:numId="2" w16cid:durableId="241256697">
    <w:abstractNumId w:val="6"/>
  </w:num>
  <w:num w:numId="3" w16cid:durableId="1968854781">
    <w:abstractNumId w:val="17"/>
  </w:num>
  <w:num w:numId="4" w16cid:durableId="944845964">
    <w:abstractNumId w:val="20"/>
  </w:num>
  <w:num w:numId="5" w16cid:durableId="696464388">
    <w:abstractNumId w:val="15"/>
  </w:num>
  <w:num w:numId="6" w16cid:durableId="43141425">
    <w:abstractNumId w:val="5"/>
  </w:num>
  <w:num w:numId="7" w16cid:durableId="857046145">
    <w:abstractNumId w:val="8"/>
  </w:num>
  <w:num w:numId="8" w16cid:durableId="126705630">
    <w:abstractNumId w:val="13"/>
  </w:num>
  <w:num w:numId="9" w16cid:durableId="2072800205">
    <w:abstractNumId w:val="4"/>
  </w:num>
  <w:num w:numId="10" w16cid:durableId="1153716661">
    <w:abstractNumId w:val="0"/>
  </w:num>
  <w:num w:numId="11" w16cid:durableId="1487475117">
    <w:abstractNumId w:val="12"/>
  </w:num>
  <w:num w:numId="12" w16cid:durableId="1824083953">
    <w:abstractNumId w:val="2"/>
  </w:num>
  <w:num w:numId="13" w16cid:durableId="1794326864">
    <w:abstractNumId w:val="18"/>
  </w:num>
  <w:num w:numId="14" w16cid:durableId="1933509732">
    <w:abstractNumId w:val="7"/>
  </w:num>
  <w:num w:numId="15" w16cid:durableId="2098356705">
    <w:abstractNumId w:val="10"/>
  </w:num>
  <w:num w:numId="16" w16cid:durableId="1618246626">
    <w:abstractNumId w:val="16"/>
  </w:num>
  <w:num w:numId="17" w16cid:durableId="782380433">
    <w:abstractNumId w:val="19"/>
  </w:num>
  <w:num w:numId="18" w16cid:durableId="1975787401">
    <w:abstractNumId w:val="11"/>
  </w:num>
  <w:num w:numId="19" w16cid:durableId="2064130689">
    <w:abstractNumId w:val="23"/>
  </w:num>
  <w:num w:numId="20" w16cid:durableId="504589221">
    <w:abstractNumId w:val="22"/>
  </w:num>
  <w:num w:numId="21" w16cid:durableId="1964581398">
    <w:abstractNumId w:val="9"/>
  </w:num>
  <w:num w:numId="22" w16cid:durableId="1575973568">
    <w:abstractNumId w:val="1"/>
  </w:num>
  <w:num w:numId="23" w16cid:durableId="290553712">
    <w:abstractNumId w:val="14"/>
  </w:num>
  <w:num w:numId="24" w16cid:durableId="793014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86361"/>
    <w:rsid w:val="000B503C"/>
    <w:rsid w:val="000C5CFD"/>
    <w:rsid w:val="000F696F"/>
    <w:rsid w:val="00151ADD"/>
    <w:rsid w:val="00174C7D"/>
    <w:rsid w:val="0019129D"/>
    <w:rsid w:val="001A7ABF"/>
    <w:rsid w:val="001C0D70"/>
    <w:rsid w:val="001C47B0"/>
    <w:rsid w:val="001E6035"/>
    <w:rsid w:val="001F44EA"/>
    <w:rsid w:val="002009CD"/>
    <w:rsid w:val="00211196"/>
    <w:rsid w:val="00211326"/>
    <w:rsid w:val="00215FAD"/>
    <w:rsid w:val="002232BE"/>
    <w:rsid w:val="00223ED9"/>
    <w:rsid w:val="00226D3B"/>
    <w:rsid w:val="002535DB"/>
    <w:rsid w:val="00263ADB"/>
    <w:rsid w:val="0027245A"/>
    <w:rsid w:val="0027528B"/>
    <w:rsid w:val="00276058"/>
    <w:rsid w:val="002A5EF1"/>
    <w:rsid w:val="002B68EA"/>
    <w:rsid w:val="002C10A8"/>
    <w:rsid w:val="002D1221"/>
    <w:rsid w:val="002F5364"/>
    <w:rsid w:val="00301B4F"/>
    <w:rsid w:val="00304BF8"/>
    <w:rsid w:val="00305004"/>
    <w:rsid w:val="00341CF7"/>
    <w:rsid w:val="00342B00"/>
    <w:rsid w:val="0034587B"/>
    <w:rsid w:val="00354870"/>
    <w:rsid w:val="00376E4E"/>
    <w:rsid w:val="0038273E"/>
    <w:rsid w:val="00383238"/>
    <w:rsid w:val="00383D06"/>
    <w:rsid w:val="003867E9"/>
    <w:rsid w:val="00393A93"/>
    <w:rsid w:val="003B2ADA"/>
    <w:rsid w:val="003D10CD"/>
    <w:rsid w:val="003E7518"/>
    <w:rsid w:val="00403759"/>
    <w:rsid w:val="00410D8D"/>
    <w:rsid w:val="00451777"/>
    <w:rsid w:val="004D0CC1"/>
    <w:rsid w:val="004D1E4C"/>
    <w:rsid w:val="004E7DB9"/>
    <w:rsid w:val="004F518F"/>
    <w:rsid w:val="00511A19"/>
    <w:rsid w:val="00512E55"/>
    <w:rsid w:val="00531FF1"/>
    <w:rsid w:val="005323AC"/>
    <w:rsid w:val="0055449C"/>
    <w:rsid w:val="005806C1"/>
    <w:rsid w:val="005A0D83"/>
    <w:rsid w:val="005A7A74"/>
    <w:rsid w:val="005C0E93"/>
    <w:rsid w:val="006122D8"/>
    <w:rsid w:val="00641450"/>
    <w:rsid w:val="006439E3"/>
    <w:rsid w:val="0065004D"/>
    <w:rsid w:val="00655B22"/>
    <w:rsid w:val="006749FB"/>
    <w:rsid w:val="00680B0C"/>
    <w:rsid w:val="0069446D"/>
    <w:rsid w:val="006A6A83"/>
    <w:rsid w:val="006B751B"/>
    <w:rsid w:val="00713AE1"/>
    <w:rsid w:val="0072415A"/>
    <w:rsid w:val="00732FBA"/>
    <w:rsid w:val="00737982"/>
    <w:rsid w:val="00744D14"/>
    <w:rsid w:val="00760E54"/>
    <w:rsid w:val="00763629"/>
    <w:rsid w:val="00764C62"/>
    <w:rsid w:val="007C068E"/>
    <w:rsid w:val="007C6355"/>
    <w:rsid w:val="007F2EFF"/>
    <w:rsid w:val="00801F8F"/>
    <w:rsid w:val="00803035"/>
    <w:rsid w:val="008031C1"/>
    <w:rsid w:val="00840574"/>
    <w:rsid w:val="008741C7"/>
    <w:rsid w:val="00874344"/>
    <w:rsid w:val="00877629"/>
    <w:rsid w:val="00884174"/>
    <w:rsid w:val="008A2AA7"/>
    <w:rsid w:val="008B68CF"/>
    <w:rsid w:val="008C0889"/>
    <w:rsid w:val="008D555B"/>
    <w:rsid w:val="008F52B0"/>
    <w:rsid w:val="008F63B2"/>
    <w:rsid w:val="00912269"/>
    <w:rsid w:val="00942431"/>
    <w:rsid w:val="00957077"/>
    <w:rsid w:val="00987FDA"/>
    <w:rsid w:val="009D3AEC"/>
    <w:rsid w:val="009F7349"/>
    <w:rsid w:val="00A0275E"/>
    <w:rsid w:val="00A074BA"/>
    <w:rsid w:val="00A1550B"/>
    <w:rsid w:val="00A16060"/>
    <w:rsid w:val="00A507EB"/>
    <w:rsid w:val="00AA7BCF"/>
    <w:rsid w:val="00AC3137"/>
    <w:rsid w:val="00AD6E8B"/>
    <w:rsid w:val="00AE6BAF"/>
    <w:rsid w:val="00AF2E3F"/>
    <w:rsid w:val="00B32D27"/>
    <w:rsid w:val="00B4445A"/>
    <w:rsid w:val="00B83DC8"/>
    <w:rsid w:val="00B913F1"/>
    <w:rsid w:val="00C34EBE"/>
    <w:rsid w:val="00C40E4E"/>
    <w:rsid w:val="00C4686A"/>
    <w:rsid w:val="00C56337"/>
    <w:rsid w:val="00C72DBF"/>
    <w:rsid w:val="00C947F3"/>
    <w:rsid w:val="00CB4EE3"/>
    <w:rsid w:val="00CC10B2"/>
    <w:rsid w:val="00CD703B"/>
    <w:rsid w:val="00CF02E4"/>
    <w:rsid w:val="00D34E5C"/>
    <w:rsid w:val="00D46857"/>
    <w:rsid w:val="00D76751"/>
    <w:rsid w:val="00D81948"/>
    <w:rsid w:val="00D81ACE"/>
    <w:rsid w:val="00D857B1"/>
    <w:rsid w:val="00D9508B"/>
    <w:rsid w:val="00DF0AD1"/>
    <w:rsid w:val="00E553FB"/>
    <w:rsid w:val="00E742D8"/>
    <w:rsid w:val="00EA7D83"/>
    <w:rsid w:val="00F15532"/>
    <w:rsid w:val="00F25A9E"/>
    <w:rsid w:val="00F625FF"/>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 w:type="paragraph" w:styleId="Tekstprzypisukocowego">
    <w:name w:val="endnote text"/>
    <w:basedOn w:val="Normalny"/>
    <w:link w:val="TekstprzypisukocowegoZnak"/>
    <w:semiHidden/>
    <w:rsid w:val="009D3AEC"/>
    <w:rPr>
      <w:sz w:val="20"/>
      <w:szCs w:val="20"/>
    </w:rPr>
  </w:style>
  <w:style w:type="character" w:customStyle="1" w:styleId="TekstprzypisukocowegoZnak">
    <w:name w:val="Tekst przypisu końcowego Znak"/>
    <w:basedOn w:val="Domylnaczcionkaakapitu"/>
    <w:link w:val="Tekstprzypisukocowego"/>
    <w:semiHidden/>
    <w:rsid w:val="009D3AEC"/>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A7121-B497-4A01-842E-81B574E9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2593</Words>
  <Characters>15563</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2025-08-22T09:01:00Z</dcterms:created>
  <dcterms:modified xsi:type="dcterms:W3CDTF">2025-08-22T09:01:00Z</dcterms:modified>
</cp:coreProperties>
</file>