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2C4D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b/>
          <w:noProof/>
        </w:rPr>
      </w:pPr>
      <w:r w:rsidRPr="00F60B86">
        <w:rPr>
          <w:rFonts w:eastAsia="Calibri" w:cstheme="minorHAnsi"/>
          <w:b/>
          <w:noProof/>
        </w:rPr>
        <w:t xml:space="preserve">KLAUZULA INFORMACYJNA </w:t>
      </w:r>
    </w:p>
    <w:p w14:paraId="16A8358E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b/>
          <w:noProof/>
        </w:rPr>
      </w:pPr>
      <w:r w:rsidRPr="00F60B86">
        <w:rPr>
          <w:rFonts w:eastAsia="Calibri" w:cstheme="minorHAnsi"/>
          <w:b/>
          <w:noProof/>
        </w:rPr>
        <w:t>DLA FIRM</w:t>
      </w:r>
    </w:p>
    <w:p w14:paraId="4E1B492C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noProof/>
          <w:sz w:val="20"/>
          <w:szCs w:val="20"/>
        </w:rPr>
      </w:pPr>
      <w:r w:rsidRPr="00F60B86">
        <w:rPr>
          <w:rFonts w:eastAsia="Calibri" w:cstheme="minorHAnsi"/>
          <w:noProof/>
          <w:sz w:val="20"/>
          <w:szCs w:val="20"/>
        </w:rPr>
        <w:t xml:space="preserve">(dot. umów wyłączonych spod stosowania  </w:t>
      </w:r>
    </w:p>
    <w:p w14:paraId="07D30CDB" w14:textId="77777777" w:rsidR="007D4793" w:rsidRPr="00F60B86" w:rsidRDefault="007D4793" w:rsidP="007D4793">
      <w:pPr>
        <w:keepNext/>
        <w:keepLines/>
        <w:spacing w:after="0" w:line="240" w:lineRule="auto"/>
        <w:jc w:val="center"/>
        <w:outlineLvl w:val="1"/>
        <w:rPr>
          <w:rFonts w:eastAsia="Calibri" w:cstheme="minorHAnsi"/>
          <w:noProof/>
          <w:sz w:val="20"/>
          <w:szCs w:val="20"/>
        </w:rPr>
      </w:pPr>
      <w:r w:rsidRPr="00F60B86">
        <w:rPr>
          <w:rFonts w:eastAsia="Calibri" w:cstheme="minorHAnsi"/>
          <w:noProof/>
          <w:sz w:val="20"/>
          <w:szCs w:val="20"/>
        </w:rPr>
        <w:t>przepisów ustawy Prawo zamówień publicznych)</w:t>
      </w:r>
    </w:p>
    <w:p w14:paraId="46A0E84D" w14:textId="77777777" w:rsidR="007D4793" w:rsidRPr="00F60B86" w:rsidRDefault="007D4793" w:rsidP="007D4793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25FCBB66" w14:textId="77777777" w:rsidR="007D4793" w:rsidRPr="00F60B86" w:rsidRDefault="007D4793" w:rsidP="007D4793">
      <w:pPr>
        <w:spacing w:after="240"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 xml:space="preserve">Zgodnie z 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art. 13 ust. 1 i 2  oraz art. 14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F60B86">
        <w:rPr>
          <w:rFonts w:eastAsia="Times New Roman" w:cstheme="minorHAnsi"/>
          <w:b/>
          <w:bCs/>
          <w:i/>
          <w:sz w:val="20"/>
          <w:szCs w:val="20"/>
          <w:lang w:eastAsia="pl-PL"/>
        </w:rPr>
        <w:t>(ogólne rozporządzenie o ochronie danych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) –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dalej: RODO informuję, że:</w:t>
      </w:r>
    </w:p>
    <w:p w14:paraId="6BAE0155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Administratorem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Państwa danych jest: 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Mazowiecki Wojewódzki Inspektor Inspekcji Handlowej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br/>
        <w:t>z siedzibą w Warszawie przy ul. Sienkiewicza 3.</w:t>
      </w:r>
    </w:p>
    <w:p w14:paraId="0D760C73" w14:textId="77777777" w:rsidR="007D4793" w:rsidRPr="00F60B86" w:rsidRDefault="007D4793" w:rsidP="007D4793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          Z administratorem danych można kontaktować się w następujący sposób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</w:p>
    <w:p w14:paraId="04C840EB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listownie pod adresem: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ul. Sienkiewicza 3, 00-015 Warszawa;</w:t>
      </w:r>
    </w:p>
    <w:p w14:paraId="116F2023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telefonicznie pod numerami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: 22-826-18-30 oraz 22-826-42-09;</w:t>
      </w:r>
    </w:p>
    <w:p w14:paraId="6F308AFF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left="1418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przez elektroniczną skrzynkę podawczą dostępną na stronie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hyperlink r:id="rId5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https://www.bip.wiih.org.pl</w:t>
        </w:r>
      </w:hyperlink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br/>
        <w:t xml:space="preserve">w zakładce: </w:t>
      </w:r>
      <w:r w:rsidRPr="00F60B86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Inspektorat,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w pkt:</w:t>
      </w:r>
      <w:r w:rsidRPr="00F60B86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skrzynka podawcza;</w:t>
      </w:r>
    </w:p>
    <w:p w14:paraId="34513FE4" w14:textId="77777777" w:rsidR="007D4793" w:rsidRPr="00F60B86" w:rsidRDefault="007D4793" w:rsidP="007D4793">
      <w:pPr>
        <w:numPr>
          <w:ilvl w:val="0"/>
          <w:numId w:val="1"/>
        </w:numPr>
        <w:spacing w:after="0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u w:val="single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pod adresem poczty elektronicznej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hyperlink r:id="rId6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ih_warszawa@wiih.org.pl</w:t>
        </w:r>
      </w:hyperlink>
    </w:p>
    <w:p w14:paraId="2C0CCCFF" w14:textId="77777777" w:rsidR="007D4793" w:rsidRPr="00F60B86" w:rsidRDefault="007D4793" w:rsidP="007D4793">
      <w:pPr>
        <w:spacing w:line="276" w:lineRule="auto"/>
        <w:ind w:left="915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02210AD6" w14:textId="1D492D50" w:rsidR="007D4793" w:rsidRPr="00F60B86" w:rsidRDefault="007D4793" w:rsidP="007D4793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Inspektorem Ochrony Danych w Wojewódzkim Inspektoracie Inspekcji Handlowej w Warszawie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jest p. Irena Kopyścińska, z którą można kontaktować się pod adresem e-mail: </w:t>
      </w:r>
      <w:hyperlink r:id="rId7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ikopyscinska@wiih.org.pl</w:t>
        </w:r>
      </w:hyperlink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, telefonicznie: 22-826-18-30 / 826-42-09 wew. </w:t>
      </w:r>
      <w:r w:rsidR="00620A7E">
        <w:rPr>
          <w:rFonts w:eastAsia="Times New Roman" w:cstheme="minorHAnsi"/>
          <w:bCs/>
          <w:sz w:val="20"/>
          <w:szCs w:val="20"/>
          <w:lang w:eastAsia="pl-PL"/>
        </w:rPr>
        <w:t>31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lub pisemnie na adres siedziby Administratora.</w:t>
      </w:r>
    </w:p>
    <w:p w14:paraId="48A9700F" w14:textId="77777777" w:rsidR="007D4793" w:rsidRPr="00F60B86" w:rsidRDefault="007D4793" w:rsidP="007D4793">
      <w:pPr>
        <w:spacing w:before="240" w:after="0" w:line="276" w:lineRule="auto"/>
        <w:ind w:left="567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273CD1C2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>Państwa dane będą przetwarzane w celu</w:t>
      </w:r>
      <w:r w:rsidRPr="00F60B86">
        <w:rPr>
          <w:rFonts w:eastAsia="Calibri" w:cstheme="minorHAnsi"/>
          <w:bCs/>
          <w:sz w:val="20"/>
          <w:szCs w:val="20"/>
        </w:rPr>
        <w:t xml:space="preserve"> zawarcia i </w:t>
      </w:r>
      <w:r w:rsidRPr="00F60B86">
        <w:rPr>
          <w:rFonts w:eastAsia="Calibri" w:cstheme="minorHAnsi"/>
          <w:sz w:val="20"/>
          <w:szCs w:val="20"/>
        </w:rPr>
        <w:t>realizacji umowy (art</w:t>
      </w:r>
      <w:r w:rsidRPr="00F60B86">
        <w:rPr>
          <w:rFonts w:eastAsia="Calibri" w:cstheme="minorHAnsi"/>
          <w:bCs/>
          <w:sz w:val="20"/>
          <w:szCs w:val="20"/>
        </w:rPr>
        <w:t>. 6 ust. 1 lit. b RODO)</w:t>
      </w:r>
      <w:r w:rsidRPr="00F60B86">
        <w:rPr>
          <w:rFonts w:eastAsia="Calibri" w:cstheme="minorHAnsi"/>
          <w:sz w:val="20"/>
          <w:szCs w:val="20"/>
        </w:rPr>
        <w:t xml:space="preserve">, ewentualnego dochodzenia roszczeń i/lub odszkodowań oraz obrony przed nimi (art. 6 ust. 1 </w:t>
      </w:r>
      <w:r w:rsidRPr="00F60B86">
        <w:rPr>
          <w:rFonts w:eastAsia="Calibri" w:cstheme="minorHAnsi"/>
          <w:bCs/>
          <w:sz w:val="20"/>
          <w:szCs w:val="20"/>
        </w:rPr>
        <w:t>lit. f  RODO),</w:t>
      </w:r>
      <w:r w:rsidRPr="00F60B86">
        <w:rPr>
          <w:rFonts w:eastAsia="Calibri" w:cstheme="minorHAnsi"/>
          <w:sz w:val="20"/>
          <w:szCs w:val="20"/>
        </w:rPr>
        <w:t xml:space="preserve"> jak również w celu przechowywania dokumentacji zgodnie z obowiązującymi przepisami, w tym ustawą </w:t>
      </w:r>
      <w:r w:rsidRPr="00F60B86">
        <w:rPr>
          <w:rFonts w:eastAsia="Calibri" w:cstheme="minorHAnsi"/>
          <w:sz w:val="20"/>
          <w:szCs w:val="20"/>
        </w:rPr>
        <w:br/>
        <w:t>o rachunkowości (art. 6 ust. 1 lit. c RODO).</w:t>
      </w:r>
    </w:p>
    <w:p w14:paraId="6347D5F1" w14:textId="77777777" w:rsidR="007D4793" w:rsidRPr="00F60B86" w:rsidRDefault="007D4793" w:rsidP="007D4793">
      <w:pPr>
        <w:spacing w:after="0" w:line="276" w:lineRule="auto"/>
        <w:ind w:left="567"/>
        <w:contextualSpacing/>
        <w:jc w:val="both"/>
        <w:rPr>
          <w:rFonts w:eastAsia="Calibri" w:cstheme="minorHAnsi"/>
          <w:bCs/>
          <w:sz w:val="16"/>
          <w:szCs w:val="16"/>
        </w:rPr>
      </w:pPr>
    </w:p>
    <w:p w14:paraId="55E76FEB" w14:textId="77777777" w:rsidR="007D4793" w:rsidRPr="00F60B86" w:rsidRDefault="007D4793" w:rsidP="007D4793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Cs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>Administrator przetwarza (lub może przetwarzać) następujące kategorie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60B86">
        <w:rPr>
          <w:rFonts w:eastAsia="Times New Roman" w:cstheme="minorHAnsi"/>
          <w:b/>
          <w:sz w:val="20"/>
          <w:szCs w:val="20"/>
          <w:lang w:eastAsia="pl-PL"/>
        </w:rPr>
        <w:t>Państwa danych osobowych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: imię, nazwisko, adres e-mail, stanowisko, nr telefonu, adres korespondencyjny, miejsce zatrudnienia, forma prowadzonej działalności</w:t>
      </w:r>
      <w:r w:rsidRPr="00F60B86">
        <w:rPr>
          <w:rFonts w:cstheme="minorHAnsi"/>
          <w:sz w:val="20"/>
          <w:szCs w:val="20"/>
        </w:rPr>
        <w:t xml:space="preserve">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oraz inne dane, m.in takie jak.: numer PESEL, NIP, REGON, czy numer rachunku bankowego przekazane w związku z zawarciem i realizacją umowy.</w:t>
      </w:r>
    </w:p>
    <w:p w14:paraId="2ABD5D65" w14:textId="77777777" w:rsidR="007D4793" w:rsidRPr="00F60B86" w:rsidRDefault="007D4793" w:rsidP="007D4793">
      <w:pPr>
        <w:spacing w:before="240" w:line="276" w:lineRule="auto"/>
        <w:ind w:left="567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3DB4A90F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 xml:space="preserve">Informacje o odbiorcach danych osobowych: </w:t>
      </w:r>
      <w:r w:rsidRPr="00F60B86">
        <w:rPr>
          <w:rFonts w:eastAsia="Calibri" w:cstheme="minorHAnsi"/>
          <w:bCs/>
          <w:sz w:val="20"/>
          <w:szCs w:val="20"/>
        </w:rPr>
        <w:t>odbiorcami Państwa danych osobowych będą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F60B86">
        <w:rPr>
          <w:rFonts w:eastAsia="Calibri" w:cstheme="minorHAnsi"/>
          <w:sz w:val="20"/>
          <w:szCs w:val="20"/>
        </w:rPr>
        <w:t>organy,  podmioty publiczne lub inne podmioty uprawnione do uzyskania danych na podstawie obowiązujących przepisów prawa, a także podmioty przetwarzające Państwa dane osobowe na podstawie umowy powierzenia.</w:t>
      </w:r>
    </w:p>
    <w:p w14:paraId="56C67539" w14:textId="77777777" w:rsidR="007D4793" w:rsidRPr="00F60B86" w:rsidRDefault="007D4793" w:rsidP="007D4793">
      <w:pPr>
        <w:ind w:left="720"/>
        <w:contextualSpacing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168BDE35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>Okres, przez który dane osobowe będą przechowywane:</w:t>
      </w:r>
      <w:r w:rsidRPr="00F60B86">
        <w:rPr>
          <w:rFonts w:eastAsia="Calibri" w:cstheme="minorHAnsi"/>
          <w:bCs/>
          <w:sz w:val="20"/>
          <w:szCs w:val="20"/>
        </w:rPr>
        <w:t xml:space="preserve"> przez okres realizacji umowy, a po tym okresie  przez czas zgodny z obowiązującymi przepisami prawa, w szczególności ustawy o rachunkowości. </w:t>
      </w:r>
    </w:p>
    <w:p w14:paraId="0ED84A35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1AA39A83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sz w:val="20"/>
          <w:szCs w:val="20"/>
        </w:rPr>
        <w:t>Zgodnie z RODO przysługuje Państwu:</w:t>
      </w:r>
    </w:p>
    <w:p w14:paraId="116B6377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dostępu do swoich danych oraz otrzymania ich kopii;</w:t>
      </w:r>
    </w:p>
    <w:p w14:paraId="5FD397D5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sprostowania (poprawiania) swoich danych;</w:t>
      </w:r>
    </w:p>
    <w:p w14:paraId="5374AAC8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851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usunięcia danych osobowych, po upływie okresów wskazanych w obowiązujących   przepisach;</w:t>
      </w:r>
    </w:p>
    <w:p w14:paraId="3DC8A3C8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ograniczenia przetwarzania danych;</w:t>
      </w:r>
    </w:p>
    <w:p w14:paraId="5540036D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wniesienia sprzeciwu wobec przetwarzania danych.</w:t>
      </w:r>
    </w:p>
    <w:p w14:paraId="13D04949" w14:textId="77777777" w:rsidR="007D4793" w:rsidRPr="00F60B86" w:rsidRDefault="007D4793" w:rsidP="007D4793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 w:hanging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 xml:space="preserve">Przysługuje Państwu również </w:t>
      </w:r>
      <w:r w:rsidRPr="00F60B86">
        <w:rPr>
          <w:rFonts w:eastAsia="Times New Roman" w:cstheme="minorHAnsi"/>
          <w:sz w:val="20"/>
          <w:szCs w:val="20"/>
          <w:lang w:eastAsia="pl-PL"/>
        </w:rPr>
        <w:t>prawo do wniesienia skargi do Prezesa UODO (na adres: Urząd Ochrony Danych Osobowych, ul. Stawki 2, 00-193 Warszawa; tel.: 22-531-03-00, infolinia 606-950-000).</w:t>
      </w:r>
    </w:p>
    <w:p w14:paraId="38984372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446042A8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sz w:val="20"/>
          <w:szCs w:val="20"/>
        </w:rPr>
        <w:t>Państwa dane osobowe nie podlegają zautomatyzowanemu podejmowaniu decyzji, w tym profilowaniu.</w:t>
      </w:r>
    </w:p>
    <w:p w14:paraId="3BEA037E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3766255" w14:textId="516A760F" w:rsidR="007D4793" w:rsidRPr="00620A7E" w:rsidRDefault="007D4793" w:rsidP="00620A7E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Podanie danych osobowych jest warunkiem zawarcia umowy. Konsekwencją niepodania danych jest brak możliwości nawiązania współpracy między stronami.</w:t>
      </w:r>
    </w:p>
    <w:sectPr w:rsidR="007D4793" w:rsidRPr="00620A7E" w:rsidSect="00620A7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C00"/>
    <w:multiLevelType w:val="hybridMultilevel"/>
    <w:tmpl w:val="D94CC920"/>
    <w:lvl w:ilvl="0" w:tplc="0AAE23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F92"/>
    <w:multiLevelType w:val="hybridMultilevel"/>
    <w:tmpl w:val="B37E6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273EE"/>
    <w:multiLevelType w:val="hybridMultilevel"/>
    <w:tmpl w:val="9562775A"/>
    <w:lvl w:ilvl="0" w:tplc="50A68744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33029471">
    <w:abstractNumId w:val="2"/>
  </w:num>
  <w:num w:numId="2" w16cid:durableId="82990560">
    <w:abstractNumId w:val="0"/>
  </w:num>
  <w:num w:numId="3" w16cid:durableId="214573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3"/>
    <w:rsid w:val="005802C6"/>
    <w:rsid w:val="00620A7E"/>
    <w:rsid w:val="006D0A5B"/>
    <w:rsid w:val="00713288"/>
    <w:rsid w:val="00750662"/>
    <w:rsid w:val="007D4793"/>
    <w:rsid w:val="009430A0"/>
    <w:rsid w:val="00A06ACF"/>
    <w:rsid w:val="00AF22AB"/>
    <w:rsid w:val="00E95EED"/>
    <w:rsid w:val="00F9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D49"/>
  <w15:chartTrackingRefBased/>
  <w15:docId w15:val="{07E79937-F30C-4215-B2A0-A027EE2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opyscinska@wiih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_warszawa@wiih.org.pl" TargetMode="External"/><Relationship Id="rId5" Type="http://schemas.openxmlformats.org/officeDocument/2006/relationships/hyperlink" Target="https://www.bip.wiih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Pieczyńska</dc:creator>
  <cp:keywords/>
  <dc:description/>
  <cp:lastModifiedBy>Paweł Balcer</cp:lastModifiedBy>
  <cp:revision>2</cp:revision>
  <dcterms:created xsi:type="dcterms:W3CDTF">2025-10-23T10:34:00Z</dcterms:created>
  <dcterms:modified xsi:type="dcterms:W3CDTF">2025-10-23T10:34:00Z</dcterms:modified>
</cp:coreProperties>
</file>