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233B" w14:textId="3B9252A0" w:rsidR="00E25EE2" w:rsidRPr="001D05D4" w:rsidRDefault="00E25EE2" w:rsidP="00E25EE2">
      <w:pPr>
        <w:spacing w:after="0" w:line="360" w:lineRule="auto"/>
        <w:rPr>
          <w:rFonts w:cs="Calibri"/>
          <w:bCs/>
          <w:sz w:val="24"/>
          <w:szCs w:val="24"/>
        </w:rPr>
      </w:pPr>
      <w:r w:rsidRPr="001D05D4">
        <w:rPr>
          <w:rFonts w:cs="Calibri"/>
          <w:bCs/>
          <w:sz w:val="24"/>
          <w:szCs w:val="24"/>
        </w:rPr>
        <w:t xml:space="preserve">Wyniki </w:t>
      </w:r>
      <w:r w:rsidR="001B34E7" w:rsidRPr="001D05D4">
        <w:rPr>
          <w:rFonts w:cs="Calibri"/>
          <w:bCs/>
          <w:sz w:val="24"/>
          <w:szCs w:val="24"/>
        </w:rPr>
        <w:t xml:space="preserve">kontroli </w:t>
      </w:r>
      <w:r w:rsidR="00940B8E" w:rsidRPr="001D05D4">
        <w:rPr>
          <w:rFonts w:cs="Calibri"/>
          <w:bCs/>
          <w:sz w:val="24"/>
          <w:szCs w:val="24"/>
        </w:rPr>
        <w:t>sprzętu elektrycznego – ładowarek sieciowych</w:t>
      </w:r>
    </w:p>
    <w:p w14:paraId="107A4EA6" w14:textId="77777777" w:rsidR="00E25EE2" w:rsidRPr="001D05D4" w:rsidRDefault="00E25EE2" w:rsidP="00E25EE2">
      <w:pPr>
        <w:spacing w:after="0" w:line="360" w:lineRule="auto"/>
        <w:rPr>
          <w:rFonts w:cs="Calibri"/>
          <w:bCs/>
          <w:sz w:val="24"/>
          <w:szCs w:val="24"/>
        </w:rPr>
      </w:pPr>
    </w:p>
    <w:p w14:paraId="3F280355" w14:textId="14309D45" w:rsidR="00E25EE2" w:rsidRPr="001D05D4" w:rsidRDefault="00E25EE2" w:rsidP="00E25EE2">
      <w:pPr>
        <w:spacing w:after="0" w:line="360" w:lineRule="auto"/>
        <w:rPr>
          <w:rFonts w:cs="Calibri"/>
          <w:bCs/>
          <w:sz w:val="24"/>
          <w:szCs w:val="24"/>
        </w:rPr>
      </w:pPr>
      <w:r w:rsidRPr="001D05D4">
        <w:rPr>
          <w:rFonts w:cs="Calibri"/>
          <w:bCs/>
          <w:sz w:val="24"/>
          <w:szCs w:val="24"/>
        </w:rPr>
        <w:t xml:space="preserve">WIIH  w Warszawie w zakresie spełniania wymagań </w:t>
      </w:r>
      <w:r w:rsidR="001D05D4" w:rsidRPr="001D05D4">
        <w:rPr>
          <w:rFonts w:cs="Calibri"/>
          <w:bCs/>
          <w:sz w:val="24"/>
          <w:szCs w:val="24"/>
        </w:rPr>
        <w:t xml:space="preserve">ładowarek sieciowych </w:t>
      </w:r>
      <w:r w:rsidRPr="001D05D4">
        <w:rPr>
          <w:rFonts w:cs="Calibri"/>
          <w:bCs/>
          <w:sz w:val="24"/>
          <w:szCs w:val="24"/>
        </w:rPr>
        <w:t>przeprowadził w 202</w:t>
      </w:r>
      <w:r w:rsidR="001B34E7" w:rsidRPr="001D05D4">
        <w:rPr>
          <w:rFonts w:cs="Calibri"/>
          <w:bCs/>
          <w:sz w:val="24"/>
          <w:szCs w:val="24"/>
        </w:rPr>
        <w:t>5</w:t>
      </w:r>
      <w:r w:rsidRPr="001D05D4">
        <w:rPr>
          <w:rFonts w:cs="Calibri"/>
          <w:bCs/>
          <w:sz w:val="24"/>
          <w:szCs w:val="24"/>
        </w:rPr>
        <w:t xml:space="preserve"> r. </w:t>
      </w:r>
      <w:r w:rsidR="00940B8E" w:rsidRPr="001D05D4">
        <w:rPr>
          <w:rFonts w:cs="Calibri"/>
          <w:bCs/>
          <w:sz w:val="24"/>
          <w:szCs w:val="24"/>
        </w:rPr>
        <w:t>2</w:t>
      </w:r>
      <w:r w:rsidR="0091473E" w:rsidRPr="001D05D4">
        <w:rPr>
          <w:rFonts w:cs="Calibri"/>
          <w:bCs/>
          <w:sz w:val="24"/>
          <w:szCs w:val="24"/>
        </w:rPr>
        <w:t>5</w:t>
      </w:r>
      <w:r w:rsidR="001B34E7" w:rsidRPr="001D05D4">
        <w:rPr>
          <w:rFonts w:cs="Calibri"/>
          <w:bCs/>
          <w:sz w:val="24"/>
          <w:szCs w:val="24"/>
        </w:rPr>
        <w:t xml:space="preserve"> kontrol</w:t>
      </w:r>
      <w:r w:rsidR="0091473E" w:rsidRPr="001D05D4">
        <w:rPr>
          <w:rFonts w:cs="Calibri"/>
          <w:bCs/>
          <w:sz w:val="24"/>
          <w:szCs w:val="24"/>
        </w:rPr>
        <w:t>i (w tym 4 rekontrole po przeprowadzonych badaniach laboratoryjnych)</w:t>
      </w:r>
      <w:r w:rsidR="00566C53">
        <w:rPr>
          <w:rFonts w:cs="Calibri"/>
          <w:bCs/>
          <w:sz w:val="24"/>
          <w:szCs w:val="24"/>
        </w:rPr>
        <w:t>.</w:t>
      </w:r>
      <w:r w:rsidRPr="001D05D4">
        <w:rPr>
          <w:rFonts w:cs="Calibri"/>
          <w:bCs/>
          <w:sz w:val="24"/>
          <w:szCs w:val="24"/>
        </w:rPr>
        <w:tab/>
      </w:r>
    </w:p>
    <w:p w14:paraId="7D14A339" w14:textId="2DF0E4D8" w:rsidR="00E25EE2" w:rsidRPr="001D05D4" w:rsidRDefault="00E25EE2" w:rsidP="00E25EE2">
      <w:pPr>
        <w:spacing w:after="0" w:line="360" w:lineRule="auto"/>
        <w:rPr>
          <w:rFonts w:cs="Calibri"/>
          <w:bCs/>
          <w:snapToGrid w:val="0"/>
          <w:sz w:val="24"/>
          <w:szCs w:val="24"/>
        </w:rPr>
      </w:pPr>
      <w:r w:rsidRPr="001D05D4">
        <w:rPr>
          <w:rFonts w:cs="Calibri"/>
          <w:bCs/>
          <w:snapToGrid w:val="0"/>
          <w:sz w:val="24"/>
          <w:szCs w:val="24"/>
        </w:rPr>
        <w:t xml:space="preserve">Kontrolą objęto </w:t>
      </w:r>
      <w:r w:rsidR="00940B8E" w:rsidRPr="001D05D4">
        <w:rPr>
          <w:rFonts w:cs="Calibri"/>
          <w:bCs/>
          <w:snapToGrid w:val="0"/>
          <w:sz w:val="24"/>
          <w:szCs w:val="24"/>
        </w:rPr>
        <w:t>2 producentów, 2 importerów oraz 1</w:t>
      </w:r>
      <w:r w:rsidR="0091473E" w:rsidRPr="001D05D4">
        <w:rPr>
          <w:rFonts w:cs="Calibri"/>
          <w:bCs/>
          <w:snapToGrid w:val="0"/>
          <w:sz w:val="24"/>
          <w:szCs w:val="24"/>
        </w:rPr>
        <w:t>7</w:t>
      </w:r>
      <w:r w:rsidR="00940B8E" w:rsidRPr="001D05D4">
        <w:rPr>
          <w:rFonts w:cs="Calibri"/>
          <w:bCs/>
          <w:snapToGrid w:val="0"/>
          <w:sz w:val="24"/>
          <w:szCs w:val="24"/>
        </w:rPr>
        <w:t xml:space="preserve"> dystrybutorów</w:t>
      </w:r>
      <w:r w:rsidRPr="001D05D4">
        <w:rPr>
          <w:rFonts w:cs="Calibri"/>
          <w:bCs/>
          <w:snapToGrid w:val="0"/>
          <w:sz w:val="24"/>
          <w:szCs w:val="24"/>
        </w:rPr>
        <w:t>.</w:t>
      </w:r>
    </w:p>
    <w:p w14:paraId="1BC6CFA0" w14:textId="52E39685" w:rsidR="00E25EE2" w:rsidRPr="001D05D4" w:rsidRDefault="00E25EE2" w:rsidP="00E25EE2">
      <w:pPr>
        <w:spacing w:after="0" w:line="360" w:lineRule="auto"/>
        <w:rPr>
          <w:rFonts w:cs="Calibri"/>
          <w:bCs/>
          <w:snapToGrid w:val="0"/>
          <w:sz w:val="24"/>
          <w:szCs w:val="24"/>
        </w:rPr>
      </w:pPr>
      <w:r w:rsidRPr="001D05D4">
        <w:rPr>
          <w:rFonts w:cs="Calibri"/>
          <w:bCs/>
          <w:snapToGrid w:val="0"/>
          <w:sz w:val="24"/>
          <w:szCs w:val="24"/>
        </w:rPr>
        <w:t xml:space="preserve">Ocenie poddano </w:t>
      </w:r>
      <w:r w:rsidR="00940B8E" w:rsidRPr="001D05D4">
        <w:rPr>
          <w:rFonts w:cs="Calibri"/>
          <w:bCs/>
          <w:snapToGrid w:val="0"/>
          <w:sz w:val="24"/>
          <w:szCs w:val="24"/>
        </w:rPr>
        <w:t>50</w:t>
      </w:r>
      <w:r w:rsidR="001B34E7" w:rsidRPr="001D05D4">
        <w:rPr>
          <w:rFonts w:cs="Calibri"/>
          <w:bCs/>
          <w:snapToGrid w:val="0"/>
          <w:sz w:val="24"/>
          <w:szCs w:val="24"/>
        </w:rPr>
        <w:t xml:space="preserve"> parti</w:t>
      </w:r>
      <w:r w:rsidR="00940B8E" w:rsidRPr="001D05D4">
        <w:rPr>
          <w:rFonts w:cs="Calibri"/>
          <w:bCs/>
          <w:snapToGrid w:val="0"/>
          <w:sz w:val="24"/>
          <w:szCs w:val="24"/>
        </w:rPr>
        <w:t xml:space="preserve">i </w:t>
      </w:r>
      <w:r w:rsidRPr="001D05D4">
        <w:rPr>
          <w:rFonts w:cs="Calibri"/>
          <w:bCs/>
          <w:snapToGrid w:val="0"/>
          <w:sz w:val="24"/>
          <w:szCs w:val="24"/>
        </w:rPr>
        <w:t>wyrobów.</w:t>
      </w:r>
    </w:p>
    <w:p w14:paraId="3517E1CD" w14:textId="77777777" w:rsidR="00E25EE2" w:rsidRPr="001D05D4" w:rsidRDefault="00E25EE2" w:rsidP="00E25EE2">
      <w:pPr>
        <w:tabs>
          <w:tab w:val="left" w:pos="0"/>
        </w:tabs>
        <w:spacing w:after="0" w:line="360" w:lineRule="auto"/>
        <w:rPr>
          <w:rFonts w:cs="Calibri"/>
          <w:bCs/>
          <w:sz w:val="24"/>
          <w:szCs w:val="24"/>
        </w:rPr>
      </w:pPr>
      <w:r w:rsidRPr="001D05D4">
        <w:rPr>
          <w:rFonts w:cs="Calibri"/>
          <w:bCs/>
          <w:sz w:val="24"/>
          <w:szCs w:val="24"/>
        </w:rPr>
        <w:t xml:space="preserve">Ustalenia kontroli: </w:t>
      </w:r>
    </w:p>
    <w:p w14:paraId="1804C6CB" w14:textId="23065DD5" w:rsidR="001B34E7" w:rsidRPr="001D05D4" w:rsidRDefault="00E25EE2" w:rsidP="00E25EE2">
      <w:pPr>
        <w:spacing w:after="0" w:line="360" w:lineRule="auto"/>
        <w:rPr>
          <w:rFonts w:cs="Calibri"/>
          <w:bCs/>
          <w:snapToGrid w:val="0"/>
          <w:sz w:val="24"/>
          <w:szCs w:val="24"/>
        </w:rPr>
      </w:pPr>
      <w:r w:rsidRPr="001D05D4">
        <w:rPr>
          <w:rFonts w:cs="Calibri"/>
          <w:bCs/>
          <w:snapToGrid w:val="0"/>
          <w:sz w:val="24"/>
          <w:szCs w:val="24"/>
        </w:rPr>
        <w:t xml:space="preserve">Sprawdzenia prawidłowości oznakowania i wymagań konstrukcyjnych wyrobów dokonano w oparciu o wymagania </w:t>
      </w:r>
      <w:r w:rsidR="001B34E7" w:rsidRPr="001D05D4">
        <w:rPr>
          <w:rFonts w:cs="Calibri"/>
          <w:bCs/>
          <w:snapToGrid w:val="0"/>
          <w:sz w:val="24"/>
          <w:szCs w:val="24"/>
        </w:rPr>
        <w:t>określone</w:t>
      </w:r>
      <w:r w:rsidR="00940B8E" w:rsidRPr="001D05D4">
        <w:rPr>
          <w:rFonts w:cs="Calibri"/>
          <w:bCs/>
          <w:snapToGrid w:val="0"/>
          <w:sz w:val="24"/>
          <w:szCs w:val="24"/>
        </w:rPr>
        <w:t xml:space="preserve"> w rozporządzeniu Ministra Rozwoju z dnia 2 czerwca 2016 r. w sprawie wymagań dla sprzętu elektrycznego (Dz. U. z 2016r. poz. 806), oraz czy dopełnione są obowiązki podmiotów gospodarczych określone ustawie z dnia 13 kwietnia 2016 r. o systemach oceny zgodności i nadzoru rynku (Dz. U. z 2025, poz. 568</w:t>
      </w:r>
      <w:r w:rsidR="003B2989" w:rsidRPr="001D05D4">
        <w:rPr>
          <w:rFonts w:cs="Calibri"/>
          <w:bCs/>
          <w:snapToGrid w:val="0"/>
          <w:sz w:val="24"/>
          <w:szCs w:val="24"/>
        </w:rPr>
        <w:t xml:space="preserve">). Ponadto do badań laboratoryjnych pobrano próbki wyrobów </w:t>
      </w:r>
      <w:r w:rsidR="00F60A05" w:rsidRPr="001D05D4">
        <w:rPr>
          <w:rFonts w:cs="Calibri"/>
          <w:bCs/>
          <w:snapToGrid w:val="0"/>
          <w:sz w:val="24"/>
          <w:szCs w:val="24"/>
        </w:rPr>
        <w:t>w celu sprawdzenia czy spełniają</w:t>
      </w:r>
      <w:r w:rsidR="003B2989" w:rsidRPr="001D05D4">
        <w:rPr>
          <w:rFonts w:cs="Calibri"/>
          <w:bCs/>
          <w:snapToGrid w:val="0"/>
          <w:sz w:val="24"/>
          <w:szCs w:val="24"/>
        </w:rPr>
        <w:t xml:space="preserve"> wymaga</w:t>
      </w:r>
      <w:r w:rsidR="00F60A05" w:rsidRPr="001D05D4">
        <w:rPr>
          <w:rFonts w:cs="Calibri"/>
          <w:bCs/>
          <w:snapToGrid w:val="0"/>
          <w:sz w:val="24"/>
          <w:szCs w:val="24"/>
        </w:rPr>
        <w:t>nia</w:t>
      </w:r>
      <w:r w:rsidR="003B2989" w:rsidRPr="001D05D4">
        <w:rPr>
          <w:rFonts w:cs="Calibri"/>
          <w:bCs/>
          <w:snapToGrid w:val="0"/>
          <w:sz w:val="24"/>
          <w:szCs w:val="24"/>
        </w:rPr>
        <w:t xml:space="preserve"> normy PN-EN 62368-1:2015-03 Urządzenia techniki fonicznej/wizyjnej, informatycznej i telekomunikacyjnej – Część 1: Wymagania bezpieczeństwa.</w:t>
      </w:r>
    </w:p>
    <w:p w14:paraId="0975F605" w14:textId="1AA43F61" w:rsidR="001B34E7" w:rsidRPr="001D05D4" w:rsidRDefault="00E25EE2" w:rsidP="00E25EE2">
      <w:pPr>
        <w:spacing w:after="0" w:line="360" w:lineRule="auto"/>
        <w:rPr>
          <w:rFonts w:cs="Calibri"/>
          <w:bCs/>
          <w:snapToGrid w:val="0"/>
          <w:sz w:val="24"/>
          <w:szCs w:val="24"/>
        </w:rPr>
      </w:pPr>
      <w:r w:rsidRPr="001D05D4">
        <w:rPr>
          <w:rFonts w:cs="Calibri"/>
          <w:bCs/>
          <w:snapToGrid w:val="0"/>
          <w:sz w:val="24"/>
          <w:szCs w:val="24"/>
        </w:rPr>
        <w:t xml:space="preserve">Nieprawidłowości </w:t>
      </w:r>
      <w:r w:rsidR="002314F1" w:rsidRPr="001D05D4">
        <w:rPr>
          <w:rFonts w:cs="Calibri"/>
          <w:bCs/>
          <w:snapToGrid w:val="0"/>
          <w:sz w:val="24"/>
          <w:szCs w:val="24"/>
        </w:rPr>
        <w:t xml:space="preserve">stwierdzone w wyniku przeprowadzonych kontroli oraz badań laboratoryjnych </w:t>
      </w:r>
      <w:r w:rsidR="001B34E7" w:rsidRPr="001D05D4">
        <w:rPr>
          <w:rFonts w:cs="Calibri"/>
          <w:bCs/>
          <w:snapToGrid w:val="0"/>
          <w:sz w:val="24"/>
          <w:szCs w:val="24"/>
        </w:rPr>
        <w:t>dotyczyły</w:t>
      </w:r>
      <w:r w:rsidR="00A1681B" w:rsidRPr="001D05D4">
        <w:rPr>
          <w:rFonts w:cs="Calibri"/>
          <w:bCs/>
          <w:snapToGrid w:val="0"/>
          <w:sz w:val="24"/>
          <w:szCs w:val="24"/>
        </w:rPr>
        <w:t>:</w:t>
      </w:r>
    </w:p>
    <w:p w14:paraId="0DEBEDA1" w14:textId="4F9828A1" w:rsidR="00940B8E" w:rsidRPr="001D05D4" w:rsidRDefault="00940B8E" w:rsidP="00940B8E">
      <w:pPr>
        <w:pStyle w:val="Akapitzlist"/>
        <w:numPr>
          <w:ilvl w:val="0"/>
          <w:numId w:val="4"/>
        </w:numPr>
        <w:spacing w:after="0" w:line="360" w:lineRule="auto"/>
        <w:rPr>
          <w:rFonts w:cs="Calibri"/>
          <w:bCs/>
          <w:snapToGrid w:val="0"/>
          <w:sz w:val="24"/>
          <w:szCs w:val="24"/>
        </w:rPr>
      </w:pPr>
      <w:r w:rsidRPr="001D05D4">
        <w:rPr>
          <w:rFonts w:cs="Calibri"/>
          <w:bCs/>
          <w:snapToGrid w:val="0"/>
          <w:sz w:val="24"/>
          <w:szCs w:val="24"/>
        </w:rPr>
        <w:t>Braku przy wyrobie instrukcji obsługi, której znajomość i przestrzeganie są warunkiem, aby sprzęt elektryczny był użytkowany bezpiecznie i zgodnie z jego przeznaczaniem</w:t>
      </w:r>
      <w:r w:rsidR="002314F1" w:rsidRPr="001D05D4">
        <w:rPr>
          <w:rFonts w:cs="Calibri"/>
          <w:bCs/>
          <w:snapToGrid w:val="0"/>
          <w:sz w:val="24"/>
          <w:szCs w:val="24"/>
        </w:rPr>
        <w:t xml:space="preserve"> (1 partia wyrobów)</w:t>
      </w:r>
    </w:p>
    <w:p w14:paraId="1A02C1F1" w14:textId="03D05394" w:rsidR="00940B8E" w:rsidRPr="001D05D4" w:rsidRDefault="00940B8E" w:rsidP="00940B8E">
      <w:pPr>
        <w:pStyle w:val="Akapitzlist"/>
        <w:numPr>
          <w:ilvl w:val="0"/>
          <w:numId w:val="4"/>
        </w:numPr>
        <w:spacing w:after="0" w:line="360" w:lineRule="auto"/>
        <w:rPr>
          <w:rFonts w:cs="Calibri"/>
          <w:bCs/>
          <w:snapToGrid w:val="0"/>
          <w:sz w:val="24"/>
          <w:szCs w:val="24"/>
        </w:rPr>
      </w:pPr>
      <w:r w:rsidRPr="001D05D4">
        <w:rPr>
          <w:rFonts w:cs="Calibri"/>
          <w:bCs/>
          <w:snapToGrid w:val="0"/>
          <w:sz w:val="24"/>
          <w:szCs w:val="24"/>
        </w:rPr>
        <w:t>Wad konstrukcyjnych dotyczących zastosowania niewłaściwych kondensatorów niezapewniających wymaganej izolacji oraz przekroczenia maksymalnej dopuszczalnej temperatury obudowy</w:t>
      </w:r>
      <w:r w:rsidR="002314F1" w:rsidRPr="001D05D4">
        <w:rPr>
          <w:rFonts w:cs="Calibri"/>
          <w:bCs/>
          <w:snapToGrid w:val="0"/>
          <w:sz w:val="24"/>
          <w:szCs w:val="24"/>
        </w:rPr>
        <w:t xml:space="preserve"> (4 partie wyrobów)</w:t>
      </w:r>
    </w:p>
    <w:p w14:paraId="7D55D505" w14:textId="77777777" w:rsidR="00E25EE2" w:rsidRPr="001D05D4" w:rsidRDefault="00E25EE2" w:rsidP="00E25EE2">
      <w:pPr>
        <w:spacing w:after="0" w:line="360" w:lineRule="auto"/>
        <w:rPr>
          <w:rFonts w:cs="Calibri"/>
          <w:bCs/>
          <w:snapToGrid w:val="0"/>
          <w:sz w:val="24"/>
          <w:szCs w:val="24"/>
        </w:rPr>
      </w:pPr>
      <w:r w:rsidRPr="001D05D4">
        <w:rPr>
          <w:rFonts w:cs="Calibri"/>
          <w:bCs/>
          <w:snapToGrid w:val="0"/>
          <w:sz w:val="24"/>
          <w:szCs w:val="24"/>
        </w:rPr>
        <w:t>Wykorzystanie wyników kontroli:</w:t>
      </w:r>
    </w:p>
    <w:p w14:paraId="4C1770F8" w14:textId="457B4B44" w:rsidR="00940B8E" w:rsidRPr="001D05D4" w:rsidRDefault="00940B8E" w:rsidP="00A1681B">
      <w:pPr>
        <w:spacing w:after="0" w:line="360" w:lineRule="auto"/>
        <w:rPr>
          <w:rFonts w:cs="Calibri"/>
          <w:bCs/>
          <w:snapToGrid w:val="0"/>
          <w:sz w:val="24"/>
          <w:szCs w:val="24"/>
        </w:rPr>
      </w:pPr>
      <w:r w:rsidRPr="001D05D4">
        <w:rPr>
          <w:rFonts w:cs="Calibri"/>
          <w:bCs/>
          <w:snapToGrid w:val="0"/>
          <w:sz w:val="24"/>
          <w:szCs w:val="24"/>
        </w:rPr>
        <w:t>W wyniku dobrowolnych działań naprawczych</w:t>
      </w:r>
      <w:r w:rsidR="00A1681B" w:rsidRPr="001D05D4">
        <w:rPr>
          <w:rFonts w:cs="Calibri"/>
          <w:bCs/>
          <w:snapToGrid w:val="0"/>
          <w:sz w:val="24"/>
          <w:szCs w:val="24"/>
        </w:rPr>
        <w:t xml:space="preserve"> </w:t>
      </w:r>
      <w:r w:rsidR="002314F1" w:rsidRPr="001D05D4">
        <w:rPr>
          <w:rFonts w:cs="Calibri"/>
          <w:bCs/>
          <w:snapToGrid w:val="0"/>
          <w:sz w:val="24"/>
          <w:szCs w:val="24"/>
        </w:rPr>
        <w:t>w przypadku 1 wyrobu dystrybutor</w:t>
      </w:r>
      <w:r w:rsidRPr="001D05D4">
        <w:rPr>
          <w:rFonts w:cs="Calibri"/>
          <w:bCs/>
          <w:snapToGrid w:val="0"/>
          <w:sz w:val="24"/>
          <w:szCs w:val="24"/>
        </w:rPr>
        <w:t xml:space="preserve"> uzupełnił całą partię o brakujące informacje.</w:t>
      </w:r>
    </w:p>
    <w:p w14:paraId="1C148308" w14:textId="4DD395B6" w:rsidR="00940B8E" w:rsidRPr="001D05D4" w:rsidRDefault="00940B8E" w:rsidP="00A1681B">
      <w:pPr>
        <w:spacing w:after="0" w:line="360" w:lineRule="auto"/>
        <w:rPr>
          <w:rFonts w:cs="Calibri"/>
          <w:bCs/>
          <w:snapToGrid w:val="0"/>
          <w:sz w:val="24"/>
          <w:szCs w:val="24"/>
        </w:rPr>
      </w:pPr>
      <w:r w:rsidRPr="001D05D4">
        <w:rPr>
          <w:rFonts w:cs="Calibri"/>
          <w:bCs/>
          <w:snapToGrid w:val="0"/>
          <w:sz w:val="24"/>
          <w:szCs w:val="24"/>
        </w:rPr>
        <w:t>Ponadto w wyniku dobrowolnych działań naprawczych dystrybutor</w:t>
      </w:r>
      <w:r w:rsidR="002314F1" w:rsidRPr="001D05D4">
        <w:rPr>
          <w:rFonts w:cs="Calibri"/>
          <w:bCs/>
          <w:snapToGrid w:val="0"/>
          <w:sz w:val="24"/>
          <w:szCs w:val="24"/>
        </w:rPr>
        <w:t xml:space="preserve"> 1</w:t>
      </w:r>
      <w:r w:rsidRPr="001D05D4">
        <w:rPr>
          <w:rFonts w:cs="Calibri"/>
          <w:bCs/>
          <w:snapToGrid w:val="0"/>
          <w:sz w:val="24"/>
          <w:szCs w:val="24"/>
        </w:rPr>
        <w:t xml:space="preserve"> wyrobu wycofał </w:t>
      </w:r>
      <w:r w:rsidR="002314F1" w:rsidRPr="001D05D4">
        <w:rPr>
          <w:rFonts w:cs="Calibri"/>
          <w:bCs/>
          <w:snapToGrid w:val="0"/>
          <w:sz w:val="24"/>
          <w:szCs w:val="24"/>
        </w:rPr>
        <w:t>ze sprzedaży całą partię ładowarek z wadami konstrukcyjnymi</w:t>
      </w:r>
      <w:r w:rsidR="00402EC4">
        <w:rPr>
          <w:rFonts w:cs="Calibri"/>
          <w:bCs/>
          <w:snapToGrid w:val="0"/>
          <w:sz w:val="24"/>
          <w:szCs w:val="24"/>
        </w:rPr>
        <w:t>.</w:t>
      </w:r>
    </w:p>
    <w:p w14:paraId="45404B80" w14:textId="11123C3B" w:rsidR="00940B8E" w:rsidRPr="001D05D4" w:rsidRDefault="00940B8E" w:rsidP="00940B8E">
      <w:pPr>
        <w:spacing w:after="0" w:line="360" w:lineRule="auto"/>
        <w:rPr>
          <w:rFonts w:cs="Calibri"/>
          <w:bCs/>
          <w:snapToGrid w:val="0"/>
          <w:sz w:val="24"/>
          <w:szCs w:val="24"/>
        </w:rPr>
      </w:pPr>
      <w:r w:rsidRPr="001D05D4">
        <w:rPr>
          <w:rFonts w:cs="Calibri"/>
          <w:bCs/>
          <w:snapToGrid w:val="0"/>
          <w:sz w:val="24"/>
          <w:szCs w:val="24"/>
        </w:rPr>
        <w:t>W odniesieniu do 3 partii wyrobów</w:t>
      </w:r>
      <w:r w:rsidR="002314F1" w:rsidRPr="001D05D4">
        <w:rPr>
          <w:rFonts w:cs="Calibri"/>
          <w:bCs/>
          <w:snapToGrid w:val="0"/>
          <w:sz w:val="24"/>
          <w:szCs w:val="24"/>
        </w:rPr>
        <w:t xml:space="preserve"> z wadami konstrukcyjnymi </w:t>
      </w:r>
      <w:r w:rsidRPr="001D05D4">
        <w:rPr>
          <w:rFonts w:cs="Calibri"/>
          <w:bCs/>
          <w:snapToGrid w:val="0"/>
          <w:sz w:val="24"/>
          <w:szCs w:val="24"/>
        </w:rPr>
        <w:t>wydano decyzje o zakazie udostępniania na okres 3 miesięcy</w:t>
      </w:r>
      <w:r w:rsidR="002314F1" w:rsidRPr="001D05D4">
        <w:rPr>
          <w:rFonts w:cs="Calibri"/>
          <w:bCs/>
          <w:snapToGrid w:val="0"/>
          <w:sz w:val="24"/>
          <w:szCs w:val="24"/>
        </w:rPr>
        <w:t>.</w:t>
      </w:r>
    </w:p>
    <w:p w14:paraId="08A47878" w14:textId="492351AA" w:rsidR="002314F1" w:rsidRPr="001D05D4" w:rsidRDefault="002314F1" w:rsidP="00940B8E">
      <w:pPr>
        <w:spacing w:after="0" w:line="360" w:lineRule="auto"/>
        <w:rPr>
          <w:rFonts w:cs="Calibri"/>
          <w:bCs/>
          <w:snapToGrid w:val="0"/>
          <w:sz w:val="24"/>
          <w:szCs w:val="24"/>
        </w:rPr>
      </w:pPr>
      <w:r w:rsidRPr="001D05D4">
        <w:rPr>
          <w:rFonts w:cs="Calibri"/>
          <w:bCs/>
          <w:snapToGrid w:val="0"/>
          <w:sz w:val="24"/>
          <w:szCs w:val="24"/>
        </w:rPr>
        <w:t xml:space="preserve">Akta spraw dotyczących 4 partii wyrobów zostały przekazane do Urzędu Ochrony Konkurencji </w:t>
      </w:r>
      <w:r w:rsidR="00402EC4">
        <w:rPr>
          <w:rFonts w:cs="Calibri"/>
          <w:bCs/>
          <w:snapToGrid w:val="0"/>
          <w:sz w:val="24"/>
          <w:szCs w:val="24"/>
        </w:rPr>
        <w:br/>
      </w:r>
      <w:r w:rsidRPr="001D05D4">
        <w:rPr>
          <w:rFonts w:cs="Calibri"/>
          <w:bCs/>
          <w:snapToGrid w:val="0"/>
          <w:sz w:val="24"/>
          <w:szCs w:val="24"/>
        </w:rPr>
        <w:t>i Konsumentów.</w:t>
      </w:r>
    </w:p>
    <w:p w14:paraId="1563EFA6" w14:textId="36D3C47A" w:rsidR="00E25EE2" w:rsidRPr="001D05D4" w:rsidRDefault="00E25EE2" w:rsidP="00E25EE2">
      <w:pPr>
        <w:pStyle w:val="Tekstpodstawowywcity"/>
        <w:autoSpaceDE/>
        <w:autoSpaceDN/>
        <w:spacing w:after="0" w:line="360" w:lineRule="auto"/>
        <w:ind w:left="0"/>
        <w:rPr>
          <w:rFonts w:ascii="Calibri" w:hAnsi="Calibri" w:cs="Calibri"/>
          <w:bCs/>
          <w:snapToGrid w:val="0"/>
          <w:sz w:val="24"/>
          <w:szCs w:val="24"/>
        </w:rPr>
      </w:pPr>
      <w:r w:rsidRPr="001D05D4">
        <w:rPr>
          <w:rFonts w:ascii="Calibri" w:hAnsi="Calibri" w:cs="Calibri"/>
          <w:bCs/>
          <w:snapToGrid w:val="0"/>
          <w:sz w:val="24"/>
          <w:szCs w:val="24"/>
        </w:rPr>
        <w:t xml:space="preserve">Sporządził: </w:t>
      </w:r>
      <w:r w:rsidRPr="001D05D4">
        <w:rPr>
          <w:rFonts w:ascii="Calibri" w:hAnsi="Calibri" w:cs="Calibri"/>
          <w:bCs/>
          <w:snapToGrid w:val="0"/>
          <w:sz w:val="24"/>
          <w:szCs w:val="24"/>
        </w:rPr>
        <w:tab/>
      </w:r>
      <w:r w:rsidRPr="001D05D4">
        <w:rPr>
          <w:rFonts w:ascii="Calibri" w:hAnsi="Calibri" w:cs="Calibri"/>
          <w:bCs/>
          <w:snapToGrid w:val="0"/>
          <w:sz w:val="24"/>
          <w:szCs w:val="24"/>
        </w:rPr>
        <w:tab/>
      </w:r>
      <w:r w:rsidRPr="001D05D4">
        <w:rPr>
          <w:rFonts w:ascii="Calibri" w:hAnsi="Calibri" w:cs="Calibri"/>
          <w:bCs/>
          <w:snapToGrid w:val="0"/>
          <w:sz w:val="24"/>
          <w:szCs w:val="24"/>
        </w:rPr>
        <w:tab/>
      </w:r>
      <w:r w:rsidRPr="001D05D4">
        <w:rPr>
          <w:rFonts w:ascii="Calibri" w:hAnsi="Calibri" w:cs="Calibri"/>
          <w:bCs/>
          <w:snapToGrid w:val="0"/>
          <w:sz w:val="24"/>
          <w:szCs w:val="24"/>
        </w:rPr>
        <w:tab/>
      </w:r>
      <w:r w:rsidRPr="001D05D4">
        <w:rPr>
          <w:rFonts w:ascii="Calibri" w:hAnsi="Calibri" w:cs="Calibri"/>
          <w:bCs/>
          <w:snapToGrid w:val="0"/>
          <w:sz w:val="24"/>
          <w:szCs w:val="24"/>
        </w:rPr>
        <w:tab/>
      </w:r>
      <w:r w:rsidRPr="001D05D4">
        <w:rPr>
          <w:rFonts w:ascii="Calibri" w:hAnsi="Calibri" w:cs="Calibri"/>
          <w:bCs/>
          <w:snapToGrid w:val="0"/>
          <w:sz w:val="24"/>
          <w:szCs w:val="24"/>
        </w:rPr>
        <w:tab/>
      </w:r>
      <w:r w:rsidRPr="001D05D4">
        <w:rPr>
          <w:rFonts w:ascii="Calibri" w:hAnsi="Calibri" w:cs="Calibri"/>
          <w:bCs/>
          <w:snapToGrid w:val="0"/>
          <w:sz w:val="24"/>
          <w:szCs w:val="24"/>
        </w:rPr>
        <w:tab/>
        <w:t xml:space="preserve">            </w:t>
      </w:r>
      <w:r w:rsidRPr="001D05D4">
        <w:rPr>
          <w:rFonts w:ascii="Calibri" w:hAnsi="Calibri" w:cs="Calibri"/>
          <w:bCs/>
          <w:snapToGrid w:val="0"/>
          <w:sz w:val="24"/>
          <w:szCs w:val="24"/>
        </w:rPr>
        <w:tab/>
        <w:t xml:space="preserve">Akceptował:                          </w:t>
      </w:r>
    </w:p>
    <w:p w14:paraId="2ACE2FD8" w14:textId="48D87A50" w:rsidR="00E25EE2" w:rsidRPr="001D05D4" w:rsidRDefault="00A1681B" w:rsidP="00A1681B">
      <w:pPr>
        <w:spacing w:after="0" w:line="360" w:lineRule="auto"/>
        <w:rPr>
          <w:bCs/>
        </w:rPr>
      </w:pPr>
      <w:r w:rsidRPr="001D05D4">
        <w:rPr>
          <w:rFonts w:cs="Calibri"/>
          <w:bCs/>
          <w:snapToGrid w:val="0"/>
          <w:sz w:val="24"/>
          <w:szCs w:val="24"/>
        </w:rPr>
        <w:t>Michał Brzeszkiewicz</w:t>
      </w:r>
      <w:r w:rsidR="00E25EE2" w:rsidRPr="001D05D4">
        <w:rPr>
          <w:rFonts w:cs="Calibri"/>
          <w:bCs/>
          <w:snapToGrid w:val="0"/>
          <w:sz w:val="24"/>
          <w:szCs w:val="24"/>
        </w:rPr>
        <w:t xml:space="preserve"> – st. </w:t>
      </w:r>
      <w:r w:rsidRPr="001D05D4">
        <w:rPr>
          <w:rFonts w:cs="Calibri"/>
          <w:bCs/>
          <w:snapToGrid w:val="0"/>
          <w:sz w:val="24"/>
          <w:szCs w:val="24"/>
        </w:rPr>
        <w:t>inspektor</w:t>
      </w:r>
      <w:r w:rsidR="00E25EE2" w:rsidRPr="001D05D4">
        <w:rPr>
          <w:rFonts w:cs="Calibri"/>
          <w:bCs/>
          <w:snapToGrid w:val="0"/>
          <w:sz w:val="24"/>
          <w:szCs w:val="24"/>
        </w:rPr>
        <w:tab/>
        <w:t xml:space="preserve">                                 Adam Sobczyk- z-ca Naczelnika Wydziału BP</w:t>
      </w:r>
    </w:p>
    <w:sectPr w:rsidR="00E25EE2" w:rsidRPr="001D05D4" w:rsidSect="00E25EE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333B1"/>
    <w:multiLevelType w:val="hybridMultilevel"/>
    <w:tmpl w:val="8E82B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51D38"/>
    <w:multiLevelType w:val="hybridMultilevel"/>
    <w:tmpl w:val="5C721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D5017"/>
    <w:multiLevelType w:val="hybridMultilevel"/>
    <w:tmpl w:val="8506B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071AF"/>
    <w:multiLevelType w:val="hybridMultilevel"/>
    <w:tmpl w:val="E9EA3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467161">
    <w:abstractNumId w:val="3"/>
  </w:num>
  <w:num w:numId="2" w16cid:durableId="1746369754">
    <w:abstractNumId w:val="1"/>
  </w:num>
  <w:num w:numId="3" w16cid:durableId="1836920015">
    <w:abstractNumId w:val="2"/>
  </w:num>
  <w:num w:numId="4" w16cid:durableId="793207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E2"/>
    <w:rsid w:val="00145DE2"/>
    <w:rsid w:val="001813BF"/>
    <w:rsid w:val="00191EA6"/>
    <w:rsid w:val="001B34E7"/>
    <w:rsid w:val="001D05D4"/>
    <w:rsid w:val="002314F1"/>
    <w:rsid w:val="00292A1B"/>
    <w:rsid w:val="00371E2E"/>
    <w:rsid w:val="00375DD6"/>
    <w:rsid w:val="003B2989"/>
    <w:rsid w:val="00402EC4"/>
    <w:rsid w:val="00461193"/>
    <w:rsid w:val="00566C53"/>
    <w:rsid w:val="006C62F7"/>
    <w:rsid w:val="007223EC"/>
    <w:rsid w:val="007B3A22"/>
    <w:rsid w:val="00815A18"/>
    <w:rsid w:val="00853952"/>
    <w:rsid w:val="008C255E"/>
    <w:rsid w:val="008E037A"/>
    <w:rsid w:val="0091473E"/>
    <w:rsid w:val="00940B8E"/>
    <w:rsid w:val="009A30B8"/>
    <w:rsid w:val="00A1681B"/>
    <w:rsid w:val="00B13BC5"/>
    <w:rsid w:val="00D1424E"/>
    <w:rsid w:val="00D342E7"/>
    <w:rsid w:val="00D36125"/>
    <w:rsid w:val="00DA0CC1"/>
    <w:rsid w:val="00E22249"/>
    <w:rsid w:val="00E25EE2"/>
    <w:rsid w:val="00F04BDA"/>
    <w:rsid w:val="00F60A05"/>
    <w:rsid w:val="00F65F56"/>
    <w:rsid w:val="00F94B0E"/>
    <w:rsid w:val="00FE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A26E7"/>
  <w15:chartTrackingRefBased/>
  <w15:docId w15:val="{2328ACC3-E3CA-471A-8A93-0FBC57B1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EE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5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5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5E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5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5E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5E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5E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5E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5E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5E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5E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5E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5E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5E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5E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5E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5E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5E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5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5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5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5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5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5E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5E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5E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5E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5E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5EE2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rsid w:val="00E25EE2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5EE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30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30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30B8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30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30B8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Brzeszkiewicz</dc:creator>
  <cp:keywords/>
  <dc:description/>
  <cp:lastModifiedBy>Beata Aksamitowska</cp:lastModifiedBy>
  <cp:revision>2</cp:revision>
  <dcterms:created xsi:type="dcterms:W3CDTF">2026-01-28T14:13:00Z</dcterms:created>
  <dcterms:modified xsi:type="dcterms:W3CDTF">2026-01-28T14:13:00Z</dcterms:modified>
</cp:coreProperties>
</file>